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F7A7C" w14:textId="761868E6" w:rsidR="00BA605B" w:rsidRDefault="00BB404E">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105bis</w:t>
      </w:r>
      <w:r>
        <w:rPr>
          <w:rFonts w:cs="Arial"/>
          <w:b/>
          <w:i/>
          <w:sz w:val="28"/>
        </w:rPr>
        <w:tab/>
        <w:t xml:space="preserve">                  </w:t>
      </w:r>
      <w:r>
        <w:rPr>
          <w:rFonts w:cs="Arial"/>
          <w:b/>
          <w:i/>
          <w:sz w:val="24"/>
        </w:rPr>
        <w:t>R2-1904393</w:t>
      </w:r>
    </w:p>
    <w:p w14:paraId="470AC71B" w14:textId="77777777" w:rsidR="00BA605B" w:rsidRDefault="00BB404E">
      <w:pPr>
        <w:tabs>
          <w:tab w:val="center" w:pos="4536"/>
          <w:tab w:val="right" w:pos="9072"/>
        </w:tabs>
        <w:rPr>
          <w:rFonts w:ascii="Arial" w:hAnsi="Arial"/>
          <w:b/>
          <w:sz w:val="24"/>
          <w:szCs w:val="20"/>
          <w:lang w:val="en-GB" w:eastAsia="en-US"/>
        </w:rPr>
      </w:pPr>
      <w:r>
        <w:rPr>
          <w:rFonts w:ascii="Arial" w:hAnsi="Arial" w:hint="eastAsia"/>
          <w:b/>
          <w:sz w:val="24"/>
          <w:szCs w:val="20"/>
          <w:lang w:val="en-GB" w:eastAsia="en-US"/>
        </w:rPr>
        <w:t>X</w:t>
      </w:r>
      <w:r>
        <w:rPr>
          <w:rFonts w:ascii="Arial" w:hAnsi="Arial"/>
          <w:b/>
          <w:sz w:val="24"/>
          <w:szCs w:val="20"/>
          <w:lang w:val="en-GB" w:eastAsia="en-US"/>
        </w:rPr>
        <w:t>i’</w:t>
      </w:r>
      <w:r>
        <w:rPr>
          <w:rFonts w:ascii="Arial" w:hAnsi="Arial" w:hint="eastAsia"/>
          <w:b/>
          <w:sz w:val="24"/>
          <w:szCs w:val="20"/>
          <w:lang w:val="en-GB" w:eastAsia="en-US"/>
        </w:rPr>
        <w:t>an</w:t>
      </w:r>
      <w:r>
        <w:rPr>
          <w:rFonts w:ascii="Arial" w:hAnsi="Arial"/>
          <w:b/>
          <w:sz w:val="24"/>
          <w:szCs w:val="20"/>
          <w:lang w:val="en-GB" w:eastAsia="en-US"/>
        </w:rPr>
        <w:t>, China, 8</w:t>
      </w:r>
      <w:r>
        <w:rPr>
          <w:rFonts w:ascii="Arial" w:hAnsi="Arial"/>
          <w:b/>
          <w:sz w:val="24"/>
          <w:szCs w:val="20"/>
          <w:vertAlign w:val="superscript"/>
          <w:lang w:val="en-GB" w:eastAsia="en-US"/>
        </w:rPr>
        <w:t>th</w:t>
      </w:r>
      <w:r>
        <w:rPr>
          <w:rFonts w:ascii="Arial" w:hAnsi="Arial"/>
          <w:b/>
          <w:sz w:val="24"/>
          <w:szCs w:val="20"/>
          <w:lang w:val="en-GB" w:eastAsia="en-US"/>
        </w:rPr>
        <w:t xml:space="preserve"> – 12</w:t>
      </w:r>
      <w:r>
        <w:rPr>
          <w:rFonts w:ascii="Arial" w:hAnsi="Arial"/>
          <w:b/>
          <w:sz w:val="24"/>
          <w:szCs w:val="20"/>
          <w:vertAlign w:val="superscript"/>
          <w:lang w:val="en-GB" w:eastAsia="en-US"/>
        </w:rPr>
        <w:t>th</w:t>
      </w:r>
      <w:r>
        <w:rPr>
          <w:rFonts w:ascii="Arial" w:hAnsi="Arial"/>
          <w:b/>
          <w:sz w:val="24"/>
          <w:szCs w:val="20"/>
          <w:lang w:val="en-GB" w:eastAsia="en-US"/>
        </w:rPr>
        <w:t xml:space="preserve"> April 201</w:t>
      </w:r>
      <w:bookmarkEnd w:id="0"/>
      <w:r>
        <w:rPr>
          <w:rFonts w:ascii="Arial" w:hAnsi="Arial"/>
          <w:b/>
          <w:sz w:val="24"/>
          <w:szCs w:val="20"/>
          <w:lang w:val="en-GB" w:eastAsia="en-US"/>
        </w:rPr>
        <w:t>9</w:t>
      </w:r>
    </w:p>
    <w:p w14:paraId="03852B68" w14:textId="77777777" w:rsidR="00BA605B" w:rsidRDefault="00BB404E">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14:paraId="26DEEB08" w14:textId="77777777" w:rsidR="00BA605B" w:rsidRDefault="00BB404E">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Remaining issues for ANR report in NB-IoT</w:t>
      </w:r>
    </w:p>
    <w:p w14:paraId="50EB58DD" w14:textId="77777777" w:rsidR="00BA605B" w:rsidRDefault="00BB404E">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6</w:t>
      </w:r>
    </w:p>
    <w:p w14:paraId="6FBCF0A5" w14:textId="77777777" w:rsidR="00BA605B" w:rsidRDefault="00BB404E">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3E68EC64" w14:textId="77777777" w:rsidR="00BA605B" w:rsidRDefault="00BA605B">
      <w:pPr>
        <w:pBdr>
          <w:bottom w:val="single" w:sz="4" w:space="1" w:color="auto"/>
        </w:pBdr>
        <w:tabs>
          <w:tab w:val="left" w:pos="2552"/>
        </w:tabs>
        <w:spacing w:after="0" w:line="60" w:lineRule="exact"/>
        <w:rPr>
          <w:rFonts w:eastAsia="宋体"/>
          <w:sz w:val="24"/>
        </w:rPr>
      </w:pPr>
    </w:p>
    <w:p w14:paraId="5A419B4F" w14:textId="77777777" w:rsidR="00BA605B" w:rsidRDefault="00BB404E">
      <w:pPr>
        <w:pStyle w:val="1"/>
        <w:spacing w:before="120" w:after="120" w:line="360" w:lineRule="auto"/>
        <w:ind w:left="431" w:hanging="431"/>
        <w:rPr>
          <w:lang w:val="en-US"/>
        </w:rPr>
      </w:pPr>
      <w:r>
        <w:rPr>
          <w:lang w:val="en-US"/>
        </w:rPr>
        <w:t>Introduction</w:t>
      </w:r>
    </w:p>
    <w:p w14:paraId="21EFFD84" w14:textId="77777777" w:rsidR="00BA605B" w:rsidRDefault="00BB404E">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is</w:t>
      </w:r>
      <w:r>
        <w:rPr>
          <w:rFonts w:ascii="Times New Roman" w:hAnsi="Times New Roman"/>
          <w:lang w:val="en-US" w:eastAsia="zh-CN"/>
        </w:rPr>
        <w:t xml:space="preserv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8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4"/>
      </w:tblGrid>
      <w:tr w:rsidR="00BA605B" w14:paraId="3B64D88D" w14:textId="77777777">
        <w:tc>
          <w:tcPr>
            <w:tcW w:w="9864" w:type="dxa"/>
          </w:tcPr>
          <w:p w14:paraId="0EDD864D" w14:textId="77777777" w:rsidR="00BA605B" w:rsidRDefault="00BB404E">
            <w:pPr>
              <w:spacing w:after="0" w:line="280" w:lineRule="exact"/>
              <w:rPr>
                <w:b/>
                <w:bCs/>
                <w:i/>
              </w:rPr>
            </w:pPr>
            <w:r>
              <w:rPr>
                <w:b/>
                <w:bCs/>
                <w:i/>
              </w:rPr>
              <w:t>Network management tool enhancement:</w:t>
            </w:r>
          </w:p>
          <w:p w14:paraId="6375E72D" w14:textId="77777777" w:rsidR="00BA605B" w:rsidRDefault="00BB404E">
            <w:pPr>
              <w:numPr>
                <w:ilvl w:val="0"/>
                <w:numId w:val="6"/>
              </w:numPr>
              <w:spacing w:after="0" w:line="280" w:lineRule="exact"/>
              <w:rPr>
                <w:bCs/>
                <w:i/>
              </w:rPr>
            </w:pPr>
            <w:r>
              <w:rPr>
                <w:bCs/>
                <w:i/>
              </w:rPr>
              <w:t>SON support for reporting of [RAN2, RAN3]</w:t>
            </w:r>
          </w:p>
          <w:p w14:paraId="3D3293D2" w14:textId="77777777" w:rsidR="00BA605B" w:rsidRDefault="00BB404E">
            <w:pPr>
              <w:numPr>
                <w:ilvl w:val="1"/>
                <w:numId w:val="6"/>
              </w:numPr>
              <w:spacing w:after="0" w:line="280" w:lineRule="exact"/>
              <w:rPr>
                <w:bCs/>
                <w:i/>
              </w:rPr>
            </w:pPr>
            <w:r>
              <w:rPr>
                <w:bCs/>
                <w:i/>
              </w:rPr>
              <w:t>Cell Global Identity and strongest measured cell(s) (ANR)</w:t>
            </w:r>
          </w:p>
          <w:p w14:paraId="585DBD66" w14:textId="77777777" w:rsidR="00BA605B" w:rsidRDefault="00BB404E">
            <w:pPr>
              <w:numPr>
                <w:ilvl w:val="1"/>
                <w:numId w:val="6"/>
              </w:numPr>
              <w:spacing w:after="0" w:line="280" w:lineRule="exact"/>
              <w:rPr>
                <w:bCs/>
              </w:rPr>
            </w:pPr>
            <w:r>
              <w:rPr>
                <w:bCs/>
                <w:i/>
              </w:rPr>
              <w:t>Random access performance</w:t>
            </w:r>
          </w:p>
          <w:p w14:paraId="1F37D14A" w14:textId="77777777" w:rsidR="00BA605B" w:rsidRDefault="00BB404E">
            <w:pPr>
              <w:numPr>
                <w:ilvl w:val="1"/>
                <w:numId w:val="6"/>
              </w:numPr>
              <w:spacing w:after="0" w:line="280" w:lineRule="exact"/>
              <w:rPr>
                <w:bCs/>
              </w:rPr>
            </w:pPr>
            <w:r>
              <w:rPr>
                <w:bCs/>
                <w:i/>
              </w:rPr>
              <w:t>Radio link failure (RLF), if needed</w:t>
            </w:r>
          </w:p>
        </w:tc>
      </w:tr>
    </w:tbl>
    <w:bookmarkEnd w:id="3"/>
    <w:bookmarkEnd w:id="4"/>
    <w:p w14:paraId="40C4ADAC" w14:textId="77777777" w:rsidR="00BA605B" w:rsidRDefault="00BB404E">
      <w:pPr>
        <w:spacing w:beforeLines="50" w:before="120" w:after="100"/>
        <w:rPr>
          <w:sz w:val="20"/>
          <w:szCs w:val="20"/>
          <w:lang w:val="en-GB"/>
        </w:rPr>
      </w:pPr>
      <w:r>
        <w:rPr>
          <w:sz w:val="20"/>
          <w:szCs w:val="20"/>
          <w:lang w:val="en-GB"/>
        </w:rPr>
        <w:t>In RAN2 #103bis~#105 meeting, based on the contributions</w:t>
      </w:r>
      <w:r>
        <w:rPr>
          <w:rFonts w:eastAsia="宋体"/>
          <w:sz w:val="20"/>
          <w:szCs w:val="20"/>
          <w:lang w:val="en-GB"/>
        </w:rPr>
        <w:t xml:space="preserve">, </w:t>
      </w:r>
      <w:r>
        <w:rPr>
          <w:sz w:val="20"/>
          <w:szCs w:val="20"/>
          <w:lang w:val="en-GB"/>
        </w:rPr>
        <w:t>the following agreements have been achieved:</w:t>
      </w:r>
    </w:p>
    <w:tbl>
      <w:tblPr>
        <w:tblW w:w="9909" w:type="dxa"/>
        <w:tblInd w:w="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9"/>
      </w:tblGrid>
      <w:tr w:rsidR="00BA605B" w14:paraId="0361DBD5" w14:textId="77777777">
        <w:tc>
          <w:tcPr>
            <w:tcW w:w="9909" w:type="dxa"/>
            <w:shd w:val="clear" w:color="auto" w:fill="auto"/>
          </w:tcPr>
          <w:p w14:paraId="54477A39" w14:textId="77777777" w:rsidR="00BA605B" w:rsidRDefault="00BB404E">
            <w:pPr>
              <w:spacing w:after="100"/>
              <w:rPr>
                <w:rFonts w:eastAsia="MS Mincho" w:cs="Arial"/>
                <w:sz w:val="20"/>
                <w:szCs w:val="20"/>
                <w:lang w:eastAsia="ja-JP"/>
              </w:rPr>
            </w:pPr>
            <w:r>
              <w:rPr>
                <w:rFonts w:eastAsia="MS Mincho" w:cs="Arial"/>
                <w:sz w:val="20"/>
                <w:szCs w:val="20"/>
                <w:highlight w:val="green"/>
                <w:lang w:eastAsia="ja-JP"/>
              </w:rPr>
              <w:t>RAN2#103bis agreements:</w:t>
            </w:r>
          </w:p>
          <w:p w14:paraId="5528B545" w14:textId="77777777" w:rsidR="00BA605B" w:rsidRDefault="00BB404E">
            <w:pPr>
              <w:numPr>
                <w:ilvl w:val="0"/>
                <w:numId w:val="7"/>
              </w:numPr>
              <w:tabs>
                <w:tab w:val="left" w:pos="0"/>
                <w:tab w:val="left" w:pos="1619"/>
              </w:tabs>
              <w:overflowPunct w:val="0"/>
              <w:autoSpaceDE w:val="0"/>
              <w:autoSpaceDN w:val="0"/>
              <w:adjustRightInd w:val="0"/>
              <w:spacing w:after="40"/>
              <w:textAlignment w:val="baseline"/>
              <w:rPr>
                <w:i/>
                <w:sz w:val="20"/>
                <w:szCs w:val="20"/>
              </w:rPr>
            </w:pPr>
            <w:r>
              <w:rPr>
                <w:rFonts w:eastAsia="Times New Roman"/>
                <w:bCs/>
                <w:i/>
                <w:sz w:val="20"/>
                <w:szCs w:val="20"/>
                <w:lang w:eastAsia="ja-JP"/>
              </w:rPr>
              <w:t>ANR reporting for NB-IoT only uses idle-mode measurements (i.e. we won’t introduce connected mode measurements)</w:t>
            </w:r>
          </w:p>
          <w:p w14:paraId="15BF0CBC" w14:textId="77777777" w:rsidR="00BA605B" w:rsidRDefault="00BB404E">
            <w:pPr>
              <w:spacing w:after="100"/>
              <w:rPr>
                <w:rFonts w:eastAsia="MS Mincho" w:cs="Arial"/>
                <w:sz w:val="20"/>
                <w:szCs w:val="20"/>
                <w:lang w:eastAsia="ja-JP"/>
              </w:rPr>
            </w:pPr>
            <w:r>
              <w:rPr>
                <w:rFonts w:eastAsia="MS Mincho" w:cs="Arial"/>
                <w:sz w:val="20"/>
                <w:szCs w:val="20"/>
                <w:highlight w:val="green"/>
                <w:lang w:eastAsia="ja-JP"/>
              </w:rPr>
              <w:t>RAN2#104 agreements:</w:t>
            </w:r>
          </w:p>
          <w:p w14:paraId="5D5834A7" w14:textId="77777777" w:rsidR="00BA605B" w:rsidRDefault="00BB404E">
            <w:pPr>
              <w:tabs>
                <w:tab w:val="left" w:pos="1619"/>
              </w:tabs>
              <w:overflowPunct w:val="0"/>
              <w:autoSpaceDE w:val="0"/>
              <w:autoSpaceDN w:val="0"/>
              <w:adjustRightInd w:val="0"/>
              <w:spacing w:after="100"/>
              <w:ind w:left="567" w:hanging="567"/>
              <w:textAlignment w:val="baseline"/>
              <w:rPr>
                <w:rFonts w:eastAsia="Times New Roman"/>
                <w:bCs/>
                <w:i/>
                <w:sz w:val="20"/>
                <w:szCs w:val="20"/>
                <w:lang w:eastAsia="ja-JP"/>
              </w:rPr>
            </w:pPr>
            <w:r>
              <w:rPr>
                <w:rFonts w:eastAsia="Times New Roman"/>
                <w:bCs/>
                <w:i/>
                <w:sz w:val="20"/>
                <w:szCs w:val="20"/>
                <w:lang w:eastAsia="ja-JP"/>
              </w:rPr>
              <w:t>SON/ANR:</w:t>
            </w:r>
          </w:p>
          <w:p w14:paraId="1BE8D8E4" w14:textId="77777777" w:rsidR="00BA605B" w:rsidRDefault="00BB404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RAN2 understanding is that the purpose of SON/ANR reporting in NB-IoT is network optimization rather than immediately updating neighbour relations like with LTE ANR, and is therefore not time critical.</w:t>
            </w:r>
          </w:p>
          <w:p w14:paraId="4ED55DB9" w14:textId="77777777" w:rsidR="00BA605B" w:rsidRDefault="00BB404E">
            <w:pPr>
              <w:numPr>
                <w:ilvl w:val="0"/>
                <w:numId w:val="7"/>
              </w:numPr>
              <w:tabs>
                <w:tab w:val="left" w:pos="0"/>
                <w:tab w:val="left" w:pos="1619"/>
              </w:tabs>
              <w:overflowPunct w:val="0"/>
              <w:autoSpaceDE w:val="0"/>
              <w:autoSpaceDN w:val="0"/>
              <w:adjustRightInd w:val="0"/>
              <w:spacing w:after="40"/>
              <w:textAlignment w:val="baseline"/>
              <w:rPr>
                <w:rFonts w:eastAsia="Times New Roman"/>
                <w:bCs/>
                <w:i/>
                <w:sz w:val="20"/>
                <w:szCs w:val="20"/>
                <w:lang w:eastAsia="ja-JP"/>
              </w:rPr>
            </w:pPr>
            <w:r>
              <w:rPr>
                <w:rFonts w:eastAsia="Times New Roman"/>
                <w:bCs/>
                <w:i/>
                <w:sz w:val="20"/>
                <w:szCs w:val="20"/>
                <w:lang w:eastAsia="ja-JP"/>
              </w:rPr>
              <w:t>SON reporting does not trigger RRC connection establishment/resume</w:t>
            </w:r>
          </w:p>
          <w:p w14:paraId="6A795334" w14:textId="77777777" w:rsidR="00BA605B" w:rsidRDefault="00BB404E">
            <w:pPr>
              <w:numPr>
                <w:ilvl w:val="2"/>
                <w:numId w:val="8"/>
              </w:numPr>
              <w:tabs>
                <w:tab w:val="left" w:pos="1619"/>
              </w:tabs>
              <w:spacing w:after="0"/>
              <w:rPr>
                <w:rFonts w:eastAsia="Times New Roman"/>
                <w:bCs/>
                <w:i/>
                <w:sz w:val="20"/>
                <w:szCs w:val="20"/>
                <w:lang w:eastAsia="ja-JP"/>
              </w:rPr>
            </w:pPr>
            <w:r>
              <w:rPr>
                <w:rFonts w:eastAsia="Times New Roman"/>
                <w:bCs/>
                <w:i/>
                <w:sz w:val="20"/>
                <w:szCs w:val="20"/>
                <w:lang w:eastAsia="ja-JP"/>
              </w:rPr>
              <w:t>FFS whether this includes EDT.</w:t>
            </w:r>
          </w:p>
          <w:p w14:paraId="4B79D94B" w14:textId="77777777" w:rsidR="00BA605B" w:rsidRDefault="00BB404E">
            <w:pPr>
              <w:numPr>
                <w:ilvl w:val="0"/>
                <w:numId w:val="7"/>
              </w:numPr>
              <w:tabs>
                <w:tab w:val="left" w:pos="0"/>
                <w:tab w:val="left" w:pos="1619"/>
              </w:tabs>
              <w:overflowPunct w:val="0"/>
              <w:autoSpaceDE w:val="0"/>
              <w:autoSpaceDN w:val="0"/>
              <w:adjustRightInd w:val="0"/>
              <w:textAlignment w:val="baseline"/>
              <w:rPr>
                <w:rFonts w:eastAsia="Times New Roman"/>
                <w:bCs/>
                <w:i/>
                <w:sz w:val="20"/>
                <w:szCs w:val="20"/>
                <w:lang w:eastAsia="ja-JP"/>
              </w:rPr>
            </w:pPr>
            <w:r>
              <w:rPr>
                <w:rFonts w:eastAsia="Times New Roman"/>
                <w:bCs/>
                <w:i/>
                <w:sz w:val="20"/>
                <w:szCs w:val="20"/>
                <w:lang w:eastAsia="ja-JP"/>
              </w:rPr>
              <w:t>SON information can be reported along with EDT, FFS what and how.</w:t>
            </w:r>
          </w:p>
          <w:p w14:paraId="1C91DF33" w14:textId="77777777" w:rsidR="00BA605B" w:rsidRDefault="00BB404E">
            <w:pPr>
              <w:spacing w:after="100"/>
              <w:rPr>
                <w:rFonts w:eastAsia="MS Mincho" w:cs="Arial"/>
                <w:sz w:val="20"/>
                <w:szCs w:val="20"/>
                <w:lang w:eastAsia="ja-JP"/>
              </w:rPr>
            </w:pPr>
            <w:r>
              <w:rPr>
                <w:rFonts w:eastAsia="MS Mincho" w:cs="Arial"/>
                <w:sz w:val="20"/>
                <w:szCs w:val="20"/>
                <w:highlight w:val="green"/>
                <w:lang w:eastAsia="ja-JP"/>
              </w:rPr>
              <w:t>RAN2#105 agreements:</w:t>
            </w:r>
          </w:p>
          <w:p w14:paraId="232C6FE9" w14:textId="77777777" w:rsidR="00BA605B" w:rsidRDefault="00BB404E">
            <w:pPr>
              <w:spacing w:after="100"/>
              <w:rPr>
                <w:bCs/>
                <w:i/>
                <w:iCs/>
                <w:sz w:val="20"/>
                <w:szCs w:val="20"/>
              </w:rPr>
            </w:pPr>
            <w:r>
              <w:rPr>
                <w:bCs/>
                <w:i/>
                <w:iCs/>
                <w:sz w:val="20"/>
                <w:szCs w:val="20"/>
              </w:rPr>
              <w:t xml:space="preserve">Solution direction based on option a: </w:t>
            </w:r>
          </w:p>
          <w:p w14:paraId="7ACE02F3" w14:textId="77777777" w:rsidR="00BA605B" w:rsidRDefault="00BB404E">
            <w:pPr>
              <w:pStyle w:val="af6"/>
              <w:numPr>
                <w:ilvl w:val="0"/>
                <w:numId w:val="9"/>
              </w:numPr>
              <w:ind w:left="-61" w:firstLine="400"/>
              <w:rPr>
                <w:bCs/>
                <w:i/>
                <w:iCs/>
                <w:sz w:val="20"/>
                <w:szCs w:val="20"/>
              </w:rPr>
            </w:pPr>
            <w:r>
              <w:rPr>
                <w:bCs/>
                <w:i/>
                <w:iCs/>
                <w:sz w:val="20"/>
                <w:szCs w:val="20"/>
              </w:rPr>
              <w:t>Single set of measurements only.</w:t>
            </w:r>
          </w:p>
          <w:p w14:paraId="4C542527" w14:textId="77777777" w:rsidR="00BA605B" w:rsidRDefault="00BB404E">
            <w:pPr>
              <w:pStyle w:val="af6"/>
              <w:numPr>
                <w:ilvl w:val="0"/>
                <w:numId w:val="9"/>
              </w:numPr>
              <w:ind w:left="-61" w:firstLine="400"/>
              <w:rPr>
                <w:bCs/>
                <w:i/>
                <w:iCs/>
                <w:sz w:val="20"/>
                <w:szCs w:val="20"/>
              </w:rPr>
            </w:pPr>
            <w:r>
              <w:rPr>
                <w:bCs/>
                <w:i/>
                <w:iCs/>
                <w:sz w:val="20"/>
                <w:szCs w:val="20"/>
              </w:rPr>
              <w:t>No new measurement requirements.</w:t>
            </w:r>
          </w:p>
          <w:p w14:paraId="53223331" w14:textId="77777777" w:rsidR="00BA605B" w:rsidRDefault="00BB404E">
            <w:pPr>
              <w:pStyle w:val="af6"/>
              <w:numPr>
                <w:ilvl w:val="0"/>
                <w:numId w:val="9"/>
              </w:numPr>
              <w:ind w:left="-61" w:firstLine="400"/>
              <w:rPr>
                <w:i/>
                <w:iCs/>
                <w:sz w:val="20"/>
                <w:szCs w:val="20"/>
              </w:rPr>
            </w:pPr>
            <w:r>
              <w:rPr>
                <w:bCs/>
                <w:i/>
                <w:iCs/>
                <w:sz w:val="20"/>
                <w:szCs w:val="20"/>
              </w:rPr>
              <w:t>ANR measurement reporting using the UE Information Request / Response framework is supported. Other methods FFS.</w:t>
            </w:r>
          </w:p>
          <w:p w14:paraId="6212B976" w14:textId="77777777" w:rsidR="00BA605B" w:rsidRDefault="00BB404E">
            <w:pPr>
              <w:pStyle w:val="af6"/>
              <w:numPr>
                <w:ilvl w:val="0"/>
                <w:numId w:val="9"/>
              </w:numPr>
              <w:ind w:left="-61" w:firstLine="400"/>
              <w:rPr>
                <w:szCs w:val="20"/>
              </w:rPr>
            </w:pPr>
            <w:r>
              <w:rPr>
                <w:bCs/>
                <w:i/>
                <w:iCs/>
                <w:sz w:val="20"/>
                <w:szCs w:val="20"/>
              </w:rPr>
              <w:t>ANR reporting for the CP solution is not supported in Rel-16</w:t>
            </w:r>
          </w:p>
        </w:tc>
      </w:tr>
    </w:tbl>
    <w:p w14:paraId="5C3B266F" w14:textId="77777777" w:rsidR="00BA605B" w:rsidRDefault="00BB404E">
      <w:pPr>
        <w:pStyle w:val="CRCoverPage"/>
        <w:spacing w:beforeLines="50" w:before="120" w:afterLines="50" w:line="260" w:lineRule="exact"/>
        <w:rPr>
          <w:rFonts w:ascii="Times New Roman" w:hAnsi="Times New Roman"/>
          <w:bCs/>
          <w:lang w:val="en-US" w:eastAsia="zh-CN"/>
        </w:rPr>
      </w:pPr>
      <w:bookmarkStart w:id="6" w:name="OLE_LINK1"/>
      <w:r>
        <w:rPr>
          <w:rFonts w:ascii="Times New Roman" w:hAnsi="Times New Roman"/>
          <w:bCs/>
          <w:lang w:val="en-US" w:eastAsia="zh-CN"/>
        </w:rPr>
        <w:t xml:space="preserve">In this paper, based on the </w:t>
      </w:r>
      <w:r>
        <w:rPr>
          <w:rFonts w:ascii="Times New Roman" w:hAnsi="Times New Roman" w:hint="eastAsia"/>
          <w:bCs/>
          <w:lang w:val="en-US" w:eastAsia="zh-CN"/>
        </w:rPr>
        <w:t>agreements</w:t>
      </w:r>
      <w:r>
        <w:rPr>
          <w:rFonts w:ascii="Times New Roman" w:hAnsi="Times New Roman"/>
          <w:bCs/>
          <w:lang w:val="en-US" w:eastAsia="zh-CN"/>
        </w:rPr>
        <w:t>, we further discuss some remaining issues about the ANR report content, procedure etc</w:t>
      </w:r>
      <w:r>
        <w:rPr>
          <w:rFonts w:ascii="Times New Roman" w:hAnsi="Times New Roman" w:hint="eastAsia"/>
          <w:bCs/>
          <w:lang w:val="en-US" w:eastAsia="zh-CN"/>
        </w:rPr>
        <w:t xml:space="preserve">, </w:t>
      </w:r>
      <w:r>
        <w:rPr>
          <w:rFonts w:ascii="Times New Roman" w:hAnsi="Times New Roman"/>
          <w:bCs/>
          <w:lang w:val="en-US" w:eastAsia="zh-CN"/>
        </w:rPr>
        <w:t>and give our proposals.</w:t>
      </w:r>
    </w:p>
    <w:p w14:paraId="643E6908" w14:textId="77777777" w:rsidR="00BA605B" w:rsidRDefault="00BB404E">
      <w:pPr>
        <w:pStyle w:val="1"/>
        <w:spacing w:before="120" w:after="120" w:line="360" w:lineRule="auto"/>
        <w:ind w:left="431" w:hanging="431"/>
        <w:rPr>
          <w:lang w:val="en-US"/>
        </w:rPr>
      </w:pPr>
      <w:r>
        <w:rPr>
          <w:lang w:val="en-US" w:eastAsia="ko-KR"/>
        </w:rPr>
        <w:t>Discussion</w:t>
      </w:r>
    </w:p>
    <w:p w14:paraId="495049A6" w14:textId="25746007" w:rsidR="00BA605B" w:rsidRDefault="00BB404E">
      <w:pPr>
        <w:rPr>
          <w:rFonts w:eastAsia="宋体"/>
          <w:sz w:val="20"/>
          <w:szCs w:val="20"/>
        </w:rPr>
      </w:pPr>
      <w:r>
        <w:rPr>
          <w:rFonts w:hint="eastAsia"/>
          <w:bCs/>
          <w:sz w:val="20"/>
          <w:szCs w:val="20"/>
        </w:rPr>
        <w:lastRenderedPageBreak/>
        <w:t xml:space="preserve">Based on the RAN2 #105 agreement, </w:t>
      </w:r>
      <w:r>
        <w:rPr>
          <w:bCs/>
          <w:sz w:val="20"/>
          <w:szCs w:val="20"/>
        </w:rPr>
        <w:t>“</w:t>
      </w:r>
      <w:r>
        <w:rPr>
          <w:rFonts w:eastAsia="宋体" w:hint="eastAsia"/>
          <w:sz w:val="20"/>
          <w:szCs w:val="20"/>
        </w:rPr>
        <w:t>option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Pr>
          <w:rFonts w:eastAsia="宋体" w:hint="eastAsia"/>
          <w:sz w:val="20"/>
          <w:szCs w:val="20"/>
        </w:rPr>
        <w:t xml:space="preserve"> is </w:t>
      </w:r>
      <w:r>
        <w:rPr>
          <w:rFonts w:eastAsia="宋体"/>
          <w:sz w:val="20"/>
          <w:szCs w:val="20"/>
        </w:rPr>
        <w:t>preferred</w:t>
      </w:r>
      <w:r>
        <w:rPr>
          <w:rFonts w:eastAsia="宋体" w:hint="eastAsia"/>
          <w:sz w:val="20"/>
          <w:szCs w:val="20"/>
        </w:rPr>
        <w:t xml:space="preserve"> for NB-IoT ANR report. </w:t>
      </w:r>
      <w:r>
        <w:rPr>
          <w:rFonts w:eastAsia="宋体"/>
          <w:sz w:val="20"/>
          <w:szCs w:val="20"/>
        </w:rPr>
        <w:t>One of the reasons to choose it but not</w:t>
      </w:r>
      <w:r w:rsidR="006B664F" w:rsidRPr="006B664F">
        <w:rPr>
          <w:rFonts w:eastAsia="宋体"/>
          <w:sz w:val="20"/>
          <w:szCs w:val="20"/>
        </w:rPr>
        <w:t xml:space="preserve"> </w:t>
      </w:r>
      <w:r w:rsidR="006B664F">
        <w:rPr>
          <w:rFonts w:eastAsia="宋体"/>
          <w:sz w:val="20"/>
          <w:szCs w:val="20"/>
        </w:rPr>
        <w:t>cell-reselection</w:t>
      </w:r>
      <w:r>
        <w:rPr>
          <w:rFonts w:eastAsia="宋体"/>
          <w:sz w:val="20"/>
          <w:szCs w:val="20"/>
        </w:rPr>
        <w:t xml:space="preserve"> </w:t>
      </w:r>
      <w:r w:rsidR="006B664F">
        <w:rPr>
          <w:rFonts w:eastAsia="宋体" w:hint="eastAsia"/>
          <w:sz w:val="20"/>
          <w:szCs w:val="20"/>
        </w:rPr>
        <w:t>based</w:t>
      </w:r>
      <w:r w:rsidR="006B664F">
        <w:rPr>
          <w:rFonts w:eastAsia="宋体"/>
          <w:sz w:val="20"/>
          <w:szCs w:val="20"/>
        </w:rPr>
        <w:t xml:space="preserve"> </w:t>
      </w:r>
      <w:r>
        <w:rPr>
          <w:rFonts w:eastAsia="宋体"/>
          <w:sz w:val="20"/>
          <w:szCs w:val="20"/>
        </w:rPr>
        <w:t xml:space="preserve">ANR measurement/report is that it’s better for geo-stationary UE. </w:t>
      </w:r>
    </w:p>
    <w:p w14:paraId="282634CE" w14:textId="77777777" w:rsidR="00BA605B" w:rsidRDefault="00BB404E">
      <w:pPr>
        <w:rPr>
          <w:rFonts w:eastAsia="宋体"/>
          <w:sz w:val="20"/>
          <w:szCs w:val="20"/>
        </w:rPr>
      </w:pPr>
      <w:r>
        <w:rPr>
          <w:rFonts w:eastAsia="宋体" w:hint="eastAsia"/>
          <w:sz w:val="20"/>
          <w:szCs w:val="20"/>
        </w:rPr>
        <w:t xml:space="preserve">We understand that </w:t>
      </w:r>
      <w:r>
        <w:rPr>
          <w:rFonts w:eastAsia="宋体"/>
          <w:sz w:val="20"/>
          <w:szCs w:val="20"/>
        </w:rPr>
        <w:t>“</w:t>
      </w:r>
      <w:r>
        <w:rPr>
          <w:rFonts w:eastAsia="宋体" w:hint="eastAsia"/>
          <w:sz w:val="20"/>
          <w:szCs w:val="20"/>
        </w:rPr>
        <w:t>option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Pr>
          <w:rFonts w:eastAsia="宋体" w:hint="eastAsia"/>
          <w:sz w:val="20"/>
          <w:szCs w:val="20"/>
        </w:rPr>
        <w:t xml:space="preserve"> means that UE performs one shot of measurement when entering Idle state and report the measurement results in the next RRC procedure. Also</w:t>
      </w:r>
      <w:r>
        <w:rPr>
          <w:rFonts w:eastAsia="宋体"/>
          <w:sz w:val="20"/>
          <w:szCs w:val="20"/>
        </w:rPr>
        <w:t xml:space="preserve"> </w:t>
      </w:r>
      <w:r>
        <w:rPr>
          <w:rFonts w:eastAsia="宋体" w:hint="eastAsia"/>
          <w:sz w:val="20"/>
          <w:szCs w:val="20"/>
        </w:rPr>
        <w:t>we</w:t>
      </w:r>
      <w:r>
        <w:rPr>
          <w:rFonts w:eastAsia="宋体"/>
          <w:sz w:val="20"/>
          <w:szCs w:val="20"/>
        </w:rPr>
        <w:t xml:space="preserve"> </w:t>
      </w:r>
      <w:r>
        <w:rPr>
          <w:rFonts w:eastAsia="宋体" w:hint="eastAsia"/>
          <w:sz w:val="20"/>
          <w:szCs w:val="20"/>
        </w:rPr>
        <w:t>know</w:t>
      </w:r>
      <w:r>
        <w:rPr>
          <w:rFonts w:eastAsia="宋体"/>
          <w:sz w:val="20"/>
          <w:szCs w:val="20"/>
        </w:rPr>
        <w:t>,</w:t>
      </w:r>
      <w:r>
        <w:rPr>
          <w:rFonts w:eastAsia="宋体" w:hint="eastAsia"/>
          <w:sz w:val="20"/>
          <w:szCs w:val="20"/>
        </w:rPr>
        <w:t xml:space="preserve"> in Rel-15 NB-IoT, </w:t>
      </w:r>
      <w:r>
        <w:rPr>
          <w:i/>
          <w:iCs/>
          <w:sz w:val="20"/>
          <w:szCs w:val="20"/>
        </w:rPr>
        <w:t>measResultServCell</w:t>
      </w:r>
      <w:r>
        <w:rPr>
          <w:rFonts w:eastAsia="宋体" w:hint="eastAsia"/>
          <w:i/>
          <w:iCs/>
          <w:sz w:val="20"/>
          <w:szCs w:val="20"/>
        </w:rPr>
        <w:t xml:space="preserve"> </w:t>
      </w:r>
      <w:r>
        <w:rPr>
          <w:rFonts w:eastAsia="宋体"/>
          <w:sz w:val="20"/>
          <w:szCs w:val="20"/>
        </w:rPr>
        <w:t>has been</w:t>
      </w:r>
      <w:r>
        <w:rPr>
          <w:rFonts w:eastAsia="宋体" w:hint="eastAsia"/>
          <w:sz w:val="20"/>
          <w:szCs w:val="20"/>
        </w:rPr>
        <w:t xml:space="preserve"> introduced in RRC Msg5 to report the </w:t>
      </w:r>
      <w:r>
        <w:rPr>
          <w:sz w:val="20"/>
          <w:szCs w:val="20"/>
          <w:lang w:val="en-GB"/>
        </w:rPr>
        <w:t xml:space="preserve">the last </w:t>
      </w:r>
      <w:r>
        <w:rPr>
          <w:sz w:val="20"/>
          <w:szCs w:val="20"/>
        </w:rPr>
        <w:t>i</w:t>
      </w:r>
      <w:r>
        <w:rPr>
          <w:rFonts w:eastAsia="宋体" w:hint="eastAsia"/>
          <w:sz w:val="20"/>
          <w:szCs w:val="20"/>
        </w:rPr>
        <w:t xml:space="preserve">dle </w:t>
      </w:r>
      <w:r>
        <w:rPr>
          <w:rFonts w:eastAsia="宋体"/>
          <w:sz w:val="20"/>
          <w:szCs w:val="20"/>
        </w:rPr>
        <w:t xml:space="preserve">mode </w:t>
      </w:r>
      <w:r>
        <w:rPr>
          <w:sz w:val="20"/>
          <w:szCs w:val="20"/>
          <w:lang w:val="en-GB"/>
        </w:rPr>
        <w:t>serving cell measurement results</w:t>
      </w:r>
      <w:r>
        <w:rPr>
          <w:rFonts w:eastAsia="宋体" w:hint="eastAsia"/>
          <w:sz w:val="20"/>
          <w:szCs w:val="20"/>
        </w:rPr>
        <w:t xml:space="preserve">. </w:t>
      </w:r>
      <w:r>
        <w:rPr>
          <w:rFonts w:eastAsia="宋体"/>
          <w:sz w:val="20"/>
          <w:szCs w:val="20"/>
        </w:rPr>
        <w:t xml:space="preserve">For further analysis, we list both </w:t>
      </w:r>
      <w:r>
        <w:rPr>
          <w:rFonts w:eastAsia="宋体" w:hint="eastAsia"/>
          <w:sz w:val="20"/>
          <w:szCs w:val="20"/>
        </w:rPr>
        <w:t>ANR measurement</w:t>
      </w:r>
      <w:r>
        <w:rPr>
          <w:rFonts w:eastAsia="宋体"/>
          <w:sz w:val="20"/>
          <w:szCs w:val="20"/>
        </w:rPr>
        <w:t>/report</w:t>
      </w:r>
      <w:r>
        <w:rPr>
          <w:rFonts w:eastAsia="宋体" w:hint="eastAsia"/>
          <w:sz w:val="20"/>
          <w:szCs w:val="20"/>
        </w:rPr>
        <w:t xml:space="preserve"> by </w:t>
      </w:r>
      <w:r>
        <w:rPr>
          <w:rFonts w:eastAsia="宋体"/>
          <w:sz w:val="20"/>
          <w:szCs w:val="20"/>
        </w:rPr>
        <w:t>“</w:t>
      </w:r>
      <w:r>
        <w:rPr>
          <w:rFonts w:eastAsia="宋体" w:hint="eastAsia"/>
          <w:sz w:val="20"/>
          <w:szCs w:val="20"/>
        </w:rPr>
        <w:t>option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Pr>
          <w:rFonts w:eastAsia="宋体" w:hint="eastAsia"/>
          <w:sz w:val="20"/>
          <w:szCs w:val="20"/>
        </w:rPr>
        <w:t xml:space="preserve"> and </w:t>
      </w:r>
      <w:r>
        <w:rPr>
          <w:i/>
          <w:iCs/>
          <w:sz w:val="20"/>
          <w:szCs w:val="20"/>
        </w:rPr>
        <w:t>measResultServCell</w:t>
      </w:r>
      <w:r>
        <w:rPr>
          <w:rFonts w:eastAsia="宋体" w:hint="eastAsia"/>
          <w:i/>
          <w:iCs/>
          <w:sz w:val="20"/>
          <w:szCs w:val="20"/>
        </w:rPr>
        <w:t xml:space="preserve"> </w:t>
      </w:r>
      <w:r>
        <w:rPr>
          <w:rFonts w:eastAsia="宋体"/>
          <w:iCs/>
          <w:sz w:val="20"/>
          <w:szCs w:val="20"/>
        </w:rPr>
        <w:t xml:space="preserve">report </w:t>
      </w:r>
      <w:r>
        <w:rPr>
          <w:rFonts w:eastAsia="宋体" w:hint="eastAsia"/>
          <w:sz w:val="20"/>
          <w:szCs w:val="20"/>
        </w:rPr>
        <w:t xml:space="preserve">in RRC Msg5 </w:t>
      </w:r>
      <w:r>
        <w:rPr>
          <w:rFonts w:eastAsia="宋体"/>
          <w:sz w:val="20"/>
          <w:szCs w:val="20"/>
        </w:rPr>
        <w:t>in the following procedure</w:t>
      </w:r>
      <w:r>
        <w:rPr>
          <w:rFonts w:eastAsia="宋体" w:hint="eastAsia"/>
          <w:sz w:val="20"/>
          <w:szCs w:val="20"/>
        </w:rPr>
        <w:t xml:space="preserve"> in the Figure 1.</w:t>
      </w:r>
    </w:p>
    <w:p w14:paraId="009D2358" w14:textId="77777777" w:rsidR="00BA605B" w:rsidRDefault="00BB404E">
      <w:pPr>
        <w:rPr>
          <w:rFonts w:eastAsia="宋体"/>
          <w:sz w:val="21"/>
        </w:rPr>
      </w:pPr>
      <w:r>
        <w:rPr>
          <w:rFonts w:eastAsia="宋体"/>
          <w:sz w:val="21"/>
        </w:rPr>
        <w:object w:dxaOrig="9918" w:dyaOrig="7801" w14:anchorId="7B55B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389.9pt" o:ole="">
            <v:imagedata r:id="rId7" o:title=""/>
            <o:lock v:ext="edit" aspectratio="f"/>
          </v:shape>
          <o:OLEObject Type="Embed" ProgID="Visio.Drawing.11" ShapeID="_x0000_i1025" DrawAspect="Content" ObjectID="_1615370128" r:id="rId8"/>
        </w:object>
      </w:r>
    </w:p>
    <w:p w14:paraId="58CFB066" w14:textId="5133F7DF" w:rsidR="00BA605B" w:rsidRDefault="00BB404E">
      <w:pPr>
        <w:jc w:val="center"/>
        <w:rPr>
          <w:rFonts w:eastAsia="宋体"/>
          <w:sz w:val="20"/>
          <w:szCs w:val="20"/>
        </w:rPr>
      </w:pPr>
      <w:r>
        <w:rPr>
          <w:rFonts w:eastAsia="宋体"/>
          <w:sz w:val="20"/>
          <w:szCs w:val="20"/>
        </w:rPr>
        <w:t>Figure 1</w:t>
      </w:r>
      <w:r>
        <w:rPr>
          <w:rFonts w:eastAsia="宋体" w:hint="eastAsia"/>
          <w:sz w:val="20"/>
          <w:szCs w:val="20"/>
        </w:rPr>
        <w:t>:</w:t>
      </w:r>
      <w:r>
        <w:rPr>
          <w:rFonts w:eastAsia="宋体"/>
          <w:sz w:val="20"/>
          <w:szCs w:val="20"/>
        </w:rPr>
        <w:t xml:space="preserve"> The procedure to report the ANR measurement by </w:t>
      </w:r>
      <w:r w:rsidR="006B664F">
        <w:rPr>
          <w:rFonts w:eastAsia="宋体"/>
          <w:sz w:val="20"/>
          <w:szCs w:val="20"/>
        </w:rPr>
        <w:t>“</w:t>
      </w:r>
      <w:r>
        <w:rPr>
          <w:rFonts w:eastAsia="宋体"/>
          <w:sz w:val="20"/>
          <w:szCs w:val="20"/>
        </w:rPr>
        <w:t>option a</w:t>
      </w:r>
      <w:r w:rsidR="006B664F">
        <w:rPr>
          <w:rFonts w:eastAsia="宋体" w:hint="eastAsia"/>
          <w:sz w:val="20"/>
          <w:szCs w:val="20"/>
        </w:rPr>
        <w:t>)</w:t>
      </w:r>
      <w:r>
        <w:rPr>
          <w:rFonts w:eastAsia="宋体"/>
          <w:sz w:val="20"/>
          <w:szCs w:val="20"/>
        </w:rPr>
        <w:t xml:space="preserve"> with single set of measurements only</w:t>
      </w:r>
      <w:r w:rsidR="006B664F">
        <w:rPr>
          <w:rFonts w:eastAsia="宋体"/>
          <w:sz w:val="20"/>
          <w:szCs w:val="20"/>
        </w:rPr>
        <w:t>”</w:t>
      </w:r>
      <w:r>
        <w:rPr>
          <w:rFonts w:eastAsia="宋体"/>
          <w:sz w:val="20"/>
          <w:szCs w:val="20"/>
        </w:rPr>
        <w:t xml:space="preserve"> and </w:t>
      </w:r>
      <w:r>
        <w:rPr>
          <w:i/>
          <w:iCs/>
          <w:sz w:val="20"/>
          <w:szCs w:val="20"/>
        </w:rPr>
        <w:t>measResultServCell</w:t>
      </w:r>
      <w:r>
        <w:rPr>
          <w:rFonts w:eastAsia="宋体"/>
          <w:i/>
          <w:iCs/>
          <w:sz w:val="20"/>
          <w:szCs w:val="20"/>
        </w:rPr>
        <w:t xml:space="preserve"> </w:t>
      </w:r>
      <w:r>
        <w:rPr>
          <w:rFonts w:eastAsia="宋体"/>
          <w:sz w:val="20"/>
          <w:szCs w:val="20"/>
        </w:rPr>
        <w:t xml:space="preserve">in </w:t>
      </w:r>
      <w:r>
        <w:rPr>
          <w:rFonts w:eastAsia="宋体" w:hint="eastAsia"/>
          <w:sz w:val="20"/>
          <w:szCs w:val="20"/>
        </w:rPr>
        <w:t xml:space="preserve">RRC </w:t>
      </w:r>
      <w:r>
        <w:rPr>
          <w:rFonts w:eastAsia="宋体"/>
          <w:sz w:val="20"/>
          <w:szCs w:val="20"/>
        </w:rPr>
        <w:t>Msg5</w:t>
      </w:r>
    </w:p>
    <w:p w14:paraId="32AF2B65" w14:textId="77777777" w:rsidR="00BA605B" w:rsidRDefault="00BB404E">
      <w:pPr>
        <w:rPr>
          <w:rFonts w:eastAsia="宋体"/>
          <w:sz w:val="20"/>
          <w:szCs w:val="20"/>
        </w:rPr>
      </w:pPr>
      <w:r>
        <w:rPr>
          <w:rFonts w:eastAsia="宋体"/>
          <w:sz w:val="20"/>
          <w:szCs w:val="20"/>
        </w:rPr>
        <w:t>Based on the Figure 1, the following observations can be obtained:</w:t>
      </w:r>
    </w:p>
    <w:p w14:paraId="0520A294" w14:textId="77777777" w:rsidR="00BA605B" w:rsidRDefault="00BB404E">
      <w:pPr>
        <w:rPr>
          <w:rFonts w:eastAsia="宋体"/>
          <w:sz w:val="20"/>
          <w:szCs w:val="20"/>
        </w:rPr>
      </w:pPr>
      <w:r>
        <w:rPr>
          <w:rFonts w:eastAsia="宋体"/>
          <w:b/>
          <w:bCs/>
          <w:sz w:val="20"/>
          <w:szCs w:val="20"/>
        </w:rPr>
        <w:t xml:space="preserve">Observation 1: For a </w:t>
      </w:r>
      <w:r>
        <w:rPr>
          <w:rFonts w:eastAsia="宋体"/>
          <w:b/>
          <w:sz w:val="20"/>
          <w:szCs w:val="20"/>
        </w:rPr>
        <w:t>geo-stationary UE</w:t>
      </w:r>
      <w:r>
        <w:rPr>
          <w:rFonts w:eastAsia="宋体"/>
          <w:b/>
          <w:bCs/>
          <w:sz w:val="20"/>
          <w:szCs w:val="20"/>
        </w:rPr>
        <w:t xml:space="preserve">, both “option a) with single set of measurement </w:t>
      </w:r>
      <w:r>
        <w:rPr>
          <w:rFonts w:eastAsia="宋体" w:hint="eastAsia"/>
          <w:b/>
          <w:bCs/>
          <w:sz w:val="20"/>
          <w:szCs w:val="20"/>
        </w:rPr>
        <w:t>only</w:t>
      </w:r>
      <w:r>
        <w:rPr>
          <w:rFonts w:eastAsia="宋体"/>
          <w:b/>
          <w:bCs/>
          <w:sz w:val="20"/>
          <w:szCs w:val="20"/>
        </w:rPr>
        <w:t>”</w:t>
      </w:r>
      <w:r>
        <w:rPr>
          <w:rFonts w:eastAsia="宋体" w:hint="eastAsia"/>
          <w:b/>
          <w:bCs/>
          <w:sz w:val="20"/>
          <w:szCs w:val="20"/>
        </w:rPr>
        <w:t xml:space="preserve"> </w:t>
      </w:r>
      <w:r>
        <w:rPr>
          <w:rFonts w:eastAsia="宋体"/>
          <w:b/>
          <w:bCs/>
          <w:sz w:val="20"/>
          <w:szCs w:val="20"/>
        </w:rPr>
        <w:t xml:space="preserve">for ANR and </w:t>
      </w:r>
      <w:r>
        <w:rPr>
          <w:b/>
          <w:bCs/>
          <w:i/>
          <w:iCs/>
          <w:sz w:val="20"/>
          <w:szCs w:val="20"/>
        </w:rPr>
        <w:t>measResultServCell</w:t>
      </w:r>
      <w:r>
        <w:rPr>
          <w:rFonts w:eastAsia="宋体"/>
          <w:b/>
          <w:bCs/>
          <w:i/>
          <w:iCs/>
          <w:sz w:val="20"/>
          <w:szCs w:val="20"/>
        </w:rPr>
        <w:t xml:space="preserve"> </w:t>
      </w:r>
      <w:r>
        <w:rPr>
          <w:rFonts w:eastAsia="宋体"/>
          <w:b/>
          <w:bCs/>
          <w:sz w:val="20"/>
          <w:szCs w:val="20"/>
        </w:rPr>
        <w:t xml:space="preserve">in </w:t>
      </w:r>
      <w:r>
        <w:rPr>
          <w:rFonts w:eastAsia="宋体" w:hint="eastAsia"/>
          <w:b/>
          <w:bCs/>
          <w:sz w:val="20"/>
          <w:szCs w:val="20"/>
        </w:rPr>
        <w:t xml:space="preserve">RRC </w:t>
      </w:r>
      <w:r>
        <w:rPr>
          <w:rFonts w:eastAsia="宋体"/>
          <w:b/>
          <w:bCs/>
          <w:sz w:val="20"/>
          <w:szCs w:val="20"/>
        </w:rPr>
        <w:t>Msg5 will report the results of one shot measurement on the last serving cell in idle mode.</w:t>
      </w:r>
    </w:p>
    <w:p w14:paraId="5009B5EC" w14:textId="7B9F9520" w:rsidR="00BA605B" w:rsidRDefault="00BB404E">
      <w:pPr>
        <w:rPr>
          <w:rFonts w:eastAsia="宋体"/>
          <w:sz w:val="20"/>
          <w:szCs w:val="20"/>
        </w:rPr>
      </w:pPr>
      <w:r>
        <w:rPr>
          <w:rFonts w:eastAsia="宋体"/>
          <w:sz w:val="20"/>
          <w:szCs w:val="20"/>
        </w:rPr>
        <w:lastRenderedPageBreak/>
        <w:t xml:space="preserve">Generally, RSRP/RSRQ of the serving cell </w:t>
      </w:r>
      <w:r>
        <w:rPr>
          <w:rFonts w:eastAsia="宋体" w:hint="eastAsia"/>
          <w:sz w:val="20"/>
          <w:szCs w:val="20"/>
        </w:rPr>
        <w:t xml:space="preserve">will be </w:t>
      </w:r>
      <w:r>
        <w:rPr>
          <w:rFonts w:eastAsia="宋体"/>
          <w:sz w:val="20"/>
          <w:szCs w:val="20"/>
        </w:rPr>
        <w:t>included in the ANR record at least. Considering that the NB-IoT RRC connection duration is short</w:t>
      </w:r>
      <w:r>
        <w:rPr>
          <w:rFonts w:eastAsia="宋体" w:hint="eastAsia"/>
          <w:sz w:val="20"/>
          <w:szCs w:val="20"/>
        </w:rPr>
        <w:t>,</w:t>
      </w:r>
      <w:r>
        <w:rPr>
          <w:rFonts w:eastAsia="宋体"/>
          <w:sz w:val="20"/>
          <w:szCs w:val="20"/>
        </w:rPr>
        <w:t xml:space="preserve"> we assume the serving cell measurement results will usually not fluctuate during such short duration</w:t>
      </w:r>
      <w:r>
        <w:rPr>
          <w:rFonts w:eastAsia="宋体" w:hint="eastAsia"/>
          <w:sz w:val="20"/>
          <w:szCs w:val="20"/>
        </w:rPr>
        <w:t>. Thus,</w:t>
      </w:r>
      <w:r>
        <w:rPr>
          <w:rFonts w:eastAsia="宋体"/>
          <w:sz w:val="20"/>
          <w:szCs w:val="20"/>
        </w:rPr>
        <w:t xml:space="preserve"> we further assume the </w:t>
      </w:r>
      <w:r>
        <w:rPr>
          <w:i/>
          <w:iCs/>
          <w:sz w:val="20"/>
          <w:szCs w:val="20"/>
        </w:rPr>
        <w:t>measResultServCell</w:t>
      </w:r>
      <w:r>
        <w:rPr>
          <w:rFonts w:eastAsia="宋体"/>
          <w:i/>
          <w:iCs/>
          <w:sz w:val="20"/>
          <w:szCs w:val="20"/>
        </w:rPr>
        <w:t xml:space="preserve"> </w:t>
      </w:r>
      <w:r>
        <w:rPr>
          <w:rFonts w:eastAsia="宋体"/>
          <w:sz w:val="20"/>
          <w:szCs w:val="20"/>
        </w:rPr>
        <w:t xml:space="preserve">in </w:t>
      </w:r>
      <w:r>
        <w:rPr>
          <w:rFonts w:eastAsia="宋体" w:hint="eastAsia"/>
          <w:sz w:val="20"/>
          <w:szCs w:val="20"/>
        </w:rPr>
        <w:t xml:space="preserve">RRC </w:t>
      </w:r>
      <w:r>
        <w:rPr>
          <w:rFonts w:eastAsia="宋体"/>
          <w:sz w:val="20"/>
          <w:szCs w:val="20"/>
        </w:rPr>
        <w:t xml:space="preserve">Msg5 and </w:t>
      </w:r>
      <w:r>
        <w:rPr>
          <w:rFonts w:eastAsia="宋体" w:hint="eastAsia"/>
          <w:sz w:val="20"/>
          <w:szCs w:val="20"/>
        </w:rPr>
        <w:t xml:space="preserve">the </w:t>
      </w:r>
      <w:r>
        <w:rPr>
          <w:rFonts w:eastAsia="宋体"/>
          <w:sz w:val="20"/>
          <w:szCs w:val="20"/>
        </w:rPr>
        <w:t xml:space="preserve">serving cell measurement results in ANR </w:t>
      </w:r>
      <w:r>
        <w:rPr>
          <w:rFonts w:eastAsia="宋体" w:hint="eastAsia"/>
          <w:sz w:val="20"/>
          <w:szCs w:val="20"/>
        </w:rPr>
        <w:t xml:space="preserve">by </w:t>
      </w:r>
      <w:r>
        <w:rPr>
          <w:rFonts w:eastAsia="宋体"/>
          <w:sz w:val="20"/>
          <w:szCs w:val="20"/>
        </w:rPr>
        <w:t xml:space="preserve">“option a) with single set of measurement only” will be the same. </w:t>
      </w:r>
      <w:r w:rsidR="006B664F">
        <w:rPr>
          <w:rFonts w:eastAsia="宋体"/>
          <w:sz w:val="20"/>
          <w:szCs w:val="20"/>
        </w:rPr>
        <w:t xml:space="preserve">Then </w:t>
      </w:r>
      <w:r>
        <w:rPr>
          <w:rFonts w:eastAsia="宋体"/>
          <w:sz w:val="20"/>
          <w:szCs w:val="20"/>
        </w:rPr>
        <w:t xml:space="preserve">such ANR report of serving cell measurement seems meaningless relative to </w:t>
      </w:r>
      <w:r>
        <w:rPr>
          <w:rFonts w:eastAsia="宋体"/>
          <w:i/>
          <w:iCs/>
          <w:sz w:val="20"/>
          <w:szCs w:val="20"/>
        </w:rPr>
        <w:t xml:space="preserve">measResultServCell </w:t>
      </w:r>
      <w:r>
        <w:rPr>
          <w:rFonts w:eastAsia="宋体"/>
          <w:sz w:val="20"/>
          <w:szCs w:val="20"/>
        </w:rPr>
        <w:t xml:space="preserve">in </w:t>
      </w:r>
      <w:r>
        <w:rPr>
          <w:rFonts w:eastAsia="宋体" w:hint="eastAsia"/>
          <w:sz w:val="20"/>
          <w:szCs w:val="20"/>
        </w:rPr>
        <w:t xml:space="preserve">RRC </w:t>
      </w:r>
      <w:r>
        <w:rPr>
          <w:rFonts w:eastAsia="宋体"/>
          <w:sz w:val="20"/>
          <w:szCs w:val="20"/>
        </w:rPr>
        <w:t>Msg5.</w:t>
      </w:r>
    </w:p>
    <w:p w14:paraId="1F94F461" w14:textId="3428F7D8" w:rsidR="00BA605B" w:rsidRDefault="00BB404E">
      <w:pPr>
        <w:rPr>
          <w:rFonts w:eastAsia="宋体"/>
          <w:sz w:val="20"/>
          <w:szCs w:val="20"/>
        </w:rPr>
      </w:pPr>
      <w:r>
        <w:rPr>
          <w:rFonts w:eastAsia="宋体"/>
          <w:b/>
          <w:bCs/>
          <w:sz w:val="20"/>
          <w:szCs w:val="20"/>
        </w:rPr>
        <w:t>Observation 2:</w:t>
      </w:r>
      <w:r>
        <w:rPr>
          <w:rFonts w:eastAsia="宋体" w:hint="eastAsia"/>
          <w:b/>
          <w:bCs/>
          <w:sz w:val="20"/>
          <w:szCs w:val="20"/>
        </w:rPr>
        <w:t xml:space="preserve"> </w:t>
      </w:r>
      <w:r>
        <w:rPr>
          <w:rFonts w:eastAsia="宋体"/>
          <w:b/>
          <w:bCs/>
          <w:sz w:val="20"/>
          <w:szCs w:val="20"/>
        </w:rPr>
        <w:t>It seems that t</w:t>
      </w:r>
      <w:r>
        <w:rPr>
          <w:rFonts w:eastAsia="宋体" w:hint="eastAsia"/>
          <w:b/>
          <w:bCs/>
          <w:sz w:val="20"/>
          <w:szCs w:val="20"/>
        </w:rPr>
        <w:t>he</w:t>
      </w:r>
      <w:r>
        <w:rPr>
          <w:rFonts w:eastAsia="宋体"/>
          <w:b/>
          <w:bCs/>
          <w:sz w:val="20"/>
          <w:szCs w:val="20"/>
        </w:rPr>
        <w:t xml:space="preserve"> serving cell measurement in ANR report by</w:t>
      </w:r>
      <w:r w:rsidR="006B664F">
        <w:rPr>
          <w:rFonts w:eastAsia="宋体"/>
          <w:b/>
          <w:bCs/>
          <w:sz w:val="20"/>
          <w:szCs w:val="20"/>
        </w:rPr>
        <w:t xml:space="preserve"> </w:t>
      </w:r>
      <w:r>
        <w:rPr>
          <w:rFonts w:eastAsia="宋体"/>
          <w:b/>
          <w:bCs/>
          <w:sz w:val="20"/>
          <w:szCs w:val="20"/>
        </w:rPr>
        <w:t xml:space="preserve">“option a) with single set of measurements only” in </w:t>
      </w:r>
      <w:r>
        <w:rPr>
          <w:b/>
          <w:bCs/>
          <w:sz w:val="20"/>
          <w:szCs w:val="20"/>
        </w:rPr>
        <w:t>UE Information Response</w:t>
      </w:r>
      <w:r>
        <w:rPr>
          <w:rFonts w:eastAsia="宋体"/>
          <w:b/>
          <w:bCs/>
          <w:sz w:val="20"/>
          <w:szCs w:val="20"/>
        </w:rPr>
        <w:t xml:space="preserve"> message would not provide additional valid information than that in </w:t>
      </w:r>
      <w:r>
        <w:rPr>
          <w:rFonts w:eastAsia="宋体"/>
          <w:b/>
          <w:bCs/>
          <w:i/>
          <w:iCs/>
          <w:sz w:val="20"/>
          <w:szCs w:val="20"/>
        </w:rPr>
        <w:t xml:space="preserve">measResultServCell </w:t>
      </w:r>
      <w:r>
        <w:rPr>
          <w:rFonts w:eastAsia="宋体"/>
          <w:b/>
          <w:bCs/>
          <w:sz w:val="20"/>
          <w:szCs w:val="20"/>
        </w:rPr>
        <w:t>report in Msg5.</w:t>
      </w:r>
    </w:p>
    <w:p w14:paraId="306FF851" w14:textId="77777777" w:rsidR="00BA605B" w:rsidRDefault="00BB404E">
      <w:pPr>
        <w:rPr>
          <w:rFonts w:eastAsia="宋体"/>
          <w:sz w:val="20"/>
          <w:szCs w:val="20"/>
        </w:rPr>
      </w:pPr>
      <w:r>
        <w:rPr>
          <w:rFonts w:eastAsia="宋体"/>
          <w:sz w:val="20"/>
          <w:szCs w:val="20"/>
        </w:rPr>
        <w:t xml:space="preserve">If there has thinking that measurement results of neighbor cells can also be </w:t>
      </w:r>
      <w:r>
        <w:rPr>
          <w:rFonts w:eastAsia="宋体" w:hint="eastAsia"/>
          <w:sz w:val="20"/>
          <w:szCs w:val="20"/>
        </w:rPr>
        <w:t>included in ANR</w:t>
      </w:r>
      <w:r>
        <w:rPr>
          <w:rFonts w:eastAsia="宋体"/>
          <w:sz w:val="20"/>
          <w:szCs w:val="20"/>
        </w:rPr>
        <w:t xml:space="preserve"> report, we think the simpler way may be to append the measurement results of neighbor cells in </w:t>
      </w:r>
      <w:r>
        <w:rPr>
          <w:rFonts w:eastAsia="宋体" w:hint="eastAsia"/>
          <w:sz w:val="20"/>
          <w:szCs w:val="20"/>
        </w:rPr>
        <w:t xml:space="preserve">RRC </w:t>
      </w:r>
      <w:r>
        <w:rPr>
          <w:rFonts w:eastAsia="宋体"/>
          <w:sz w:val="20"/>
          <w:szCs w:val="20"/>
        </w:rPr>
        <w:t xml:space="preserve">Msg5 as the supplement of </w:t>
      </w:r>
      <w:r>
        <w:rPr>
          <w:rFonts w:eastAsia="宋体"/>
          <w:i/>
          <w:iCs/>
          <w:sz w:val="20"/>
          <w:szCs w:val="20"/>
        </w:rPr>
        <w:t>measResultServCell.</w:t>
      </w:r>
      <w:r>
        <w:rPr>
          <w:rFonts w:eastAsia="宋体"/>
          <w:sz w:val="20"/>
          <w:szCs w:val="20"/>
        </w:rPr>
        <w:t xml:space="preserve"> </w:t>
      </w:r>
    </w:p>
    <w:p w14:paraId="5296156A" w14:textId="77777777" w:rsidR="00BA605B" w:rsidRDefault="00BB404E">
      <w:pPr>
        <w:rPr>
          <w:rFonts w:eastAsia="宋体"/>
          <w:b/>
          <w:bCs/>
          <w:sz w:val="20"/>
          <w:szCs w:val="20"/>
        </w:rPr>
      </w:pPr>
      <w:r>
        <w:rPr>
          <w:rFonts w:eastAsia="宋体"/>
          <w:b/>
          <w:bCs/>
          <w:sz w:val="20"/>
          <w:szCs w:val="20"/>
        </w:rPr>
        <w:t xml:space="preserve">Observation 3: If </w:t>
      </w:r>
      <w:r>
        <w:rPr>
          <w:rFonts w:eastAsia="宋体"/>
          <w:b/>
          <w:sz w:val="20"/>
          <w:szCs w:val="20"/>
        </w:rPr>
        <w:t xml:space="preserve">there has thinking that measurement results of neighbor cells can also be </w:t>
      </w:r>
      <w:r>
        <w:rPr>
          <w:rFonts w:eastAsia="宋体" w:hint="eastAsia"/>
          <w:b/>
          <w:sz w:val="20"/>
          <w:szCs w:val="20"/>
        </w:rPr>
        <w:t>included in ANR</w:t>
      </w:r>
      <w:r>
        <w:rPr>
          <w:rFonts w:eastAsia="宋体"/>
          <w:b/>
          <w:sz w:val="20"/>
          <w:szCs w:val="20"/>
        </w:rPr>
        <w:t xml:space="preserve"> report, the simpler way may be to append the measurement results of neighbor cells in </w:t>
      </w:r>
      <w:r>
        <w:rPr>
          <w:rFonts w:eastAsia="宋体" w:hint="eastAsia"/>
          <w:b/>
          <w:sz w:val="20"/>
          <w:szCs w:val="20"/>
        </w:rPr>
        <w:t xml:space="preserve">RRC </w:t>
      </w:r>
      <w:r>
        <w:rPr>
          <w:rFonts w:eastAsia="宋体"/>
          <w:b/>
          <w:sz w:val="20"/>
          <w:szCs w:val="20"/>
        </w:rPr>
        <w:t xml:space="preserve">Msg5 as the supplement of </w:t>
      </w:r>
      <w:r>
        <w:rPr>
          <w:rFonts w:eastAsia="宋体"/>
          <w:b/>
          <w:i/>
          <w:iCs/>
          <w:sz w:val="20"/>
          <w:szCs w:val="20"/>
        </w:rPr>
        <w:t>measResultServCell.</w:t>
      </w:r>
    </w:p>
    <w:p w14:paraId="62C0631D" w14:textId="04F65448" w:rsidR="00BA605B" w:rsidRDefault="00BB404E">
      <w:pPr>
        <w:rPr>
          <w:rFonts w:eastAsia="宋体"/>
          <w:b/>
          <w:bCs/>
          <w:i/>
          <w:iCs/>
          <w:sz w:val="20"/>
          <w:szCs w:val="20"/>
        </w:rPr>
      </w:pPr>
      <w:r>
        <w:rPr>
          <w:rFonts w:eastAsia="宋体"/>
          <w:b/>
          <w:bCs/>
          <w:sz w:val="20"/>
          <w:szCs w:val="20"/>
        </w:rPr>
        <w:t xml:space="preserve">Proposal 1: RAN2 </w:t>
      </w:r>
      <w:r w:rsidR="006B664F">
        <w:rPr>
          <w:rFonts w:eastAsia="宋体"/>
          <w:b/>
          <w:bCs/>
          <w:sz w:val="20"/>
          <w:szCs w:val="20"/>
        </w:rPr>
        <w:t xml:space="preserve">needs to </w:t>
      </w:r>
      <w:r>
        <w:rPr>
          <w:rFonts w:eastAsia="宋体"/>
          <w:b/>
          <w:bCs/>
          <w:sz w:val="20"/>
          <w:szCs w:val="20"/>
        </w:rPr>
        <w:t xml:space="preserve">discuss whether the </w:t>
      </w:r>
      <w:r>
        <w:rPr>
          <w:rFonts w:eastAsia="宋体"/>
          <w:b/>
          <w:bCs/>
          <w:i/>
          <w:iCs/>
          <w:sz w:val="20"/>
          <w:szCs w:val="20"/>
        </w:rPr>
        <w:t>measResultServCell</w:t>
      </w:r>
      <w:r>
        <w:rPr>
          <w:rFonts w:eastAsia="宋体"/>
          <w:b/>
          <w:bCs/>
          <w:sz w:val="20"/>
          <w:szCs w:val="20"/>
        </w:rPr>
        <w:t xml:space="preserve"> report in </w:t>
      </w:r>
      <w:r>
        <w:rPr>
          <w:rFonts w:eastAsia="宋体" w:hint="eastAsia"/>
          <w:b/>
          <w:bCs/>
          <w:sz w:val="20"/>
          <w:szCs w:val="20"/>
        </w:rPr>
        <w:t xml:space="preserve">RRC </w:t>
      </w:r>
      <w:r>
        <w:rPr>
          <w:rFonts w:eastAsia="宋体"/>
          <w:b/>
          <w:bCs/>
          <w:sz w:val="20"/>
          <w:szCs w:val="20"/>
        </w:rPr>
        <w:t>Msg5 can be reused for ANR report purpose and whether other information would be needed</w:t>
      </w:r>
      <w:r>
        <w:rPr>
          <w:rFonts w:eastAsia="宋体"/>
          <w:b/>
          <w:bCs/>
          <w:i/>
          <w:iCs/>
          <w:sz w:val="20"/>
          <w:szCs w:val="20"/>
        </w:rPr>
        <w:t>.</w:t>
      </w:r>
    </w:p>
    <w:p w14:paraId="09A7470D" w14:textId="77777777" w:rsidR="00BA605B" w:rsidRDefault="00BB404E">
      <w:pPr>
        <w:spacing w:beforeLines="30" w:before="72" w:after="100" w:line="260" w:lineRule="exact"/>
        <w:rPr>
          <w:rFonts w:eastAsia="宋体"/>
          <w:sz w:val="20"/>
          <w:szCs w:val="20"/>
        </w:rPr>
      </w:pPr>
      <w:r>
        <w:rPr>
          <w:rFonts w:eastAsia="宋体"/>
          <w:sz w:val="20"/>
          <w:szCs w:val="20"/>
        </w:rPr>
        <w:t xml:space="preserve">For the current </w:t>
      </w:r>
      <w:r>
        <w:rPr>
          <w:rFonts w:eastAsia="宋体"/>
          <w:i/>
          <w:iCs/>
          <w:sz w:val="20"/>
          <w:szCs w:val="20"/>
        </w:rPr>
        <w:t>measResultServCell</w:t>
      </w:r>
      <w:r>
        <w:rPr>
          <w:rFonts w:eastAsia="宋体"/>
          <w:sz w:val="20"/>
          <w:szCs w:val="20"/>
        </w:rPr>
        <w:t xml:space="preserve"> reporting in </w:t>
      </w:r>
      <w:r>
        <w:rPr>
          <w:rFonts w:eastAsia="宋体" w:hint="eastAsia"/>
          <w:sz w:val="20"/>
          <w:szCs w:val="20"/>
        </w:rPr>
        <w:t xml:space="preserve">RRC </w:t>
      </w:r>
      <w:r>
        <w:rPr>
          <w:rFonts w:eastAsia="宋体"/>
          <w:sz w:val="20"/>
          <w:szCs w:val="20"/>
        </w:rPr>
        <w:t>Msg5</w:t>
      </w:r>
      <w:r>
        <w:rPr>
          <w:rFonts w:eastAsia="宋体" w:hint="eastAsia"/>
          <w:sz w:val="20"/>
          <w:szCs w:val="20"/>
        </w:rPr>
        <w:t>,</w:t>
      </w:r>
      <w:r>
        <w:rPr>
          <w:rFonts w:eastAsia="宋体"/>
          <w:b/>
          <w:bCs/>
          <w:sz w:val="20"/>
          <w:szCs w:val="20"/>
        </w:rPr>
        <w:t xml:space="preserve"> </w:t>
      </w:r>
      <w:r>
        <w:rPr>
          <w:rFonts w:eastAsia="宋体"/>
          <w:sz w:val="20"/>
          <w:szCs w:val="20"/>
        </w:rPr>
        <w:t xml:space="preserve">it is controlled by </w:t>
      </w:r>
      <w:r>
        <w:rPr>
          <w:i/>
          <w:iCs/>
          <w:sz w:val="20"/>
          <w:szCs w:val="20"/>
        </w:rPr>
        <w:t xml:space="preserve">servingCellMeasInfo </w:t>
      </w:r>
      <w:r>
        <w:rPr>
          <w:sz w:val="20"/>
          <w:szCs w:val="20"/>
        </w:rPr>
        <w:t>indication in SystemInformationBlockType2-NB. Once</w:t>
      </w:r>
      <w:r>
        <w:rPr>
          <w:i/>
          <w:iCs/>
          <w:sz w:val="20"/>
          <w:szCs w:val="20"/>
        </w:rPr>
        <w:t xml:space="preserve"> servingCellMeasInfo</w:t>
      </w:r>
      <w:r>
        <w:rPr>
          <w:iCs/>
          <w:sz w:val="20"/>
          <w:szCs w:val="20"/>
        </w:rPr>
        <w:t xml:space="preserve"> is configured</w:t>
      </w:r>
      <w:r>
        <w:rPr>
          <w:sz w:val="20"/>
          <w:szCs w:val="20"/>
        </w:rPr>
        <w:t xml:space="preserve">, all the </w:t>
      </w:r>
      <w:r>
        <w:rPr>
          <w:rFonts w:eastAsia="宋体" w:hint="eastAsia"/>
          <w:sz w:val="20"/>
          <w:szCs w:val="20"/>
        </w:rPr>
        <w:t xml:space="preserve">capable </w:t>
      </w:r>
      <w:r>
        <w:rPr>
          <w:sz w:val="20"/>
          <w:szCs w:val="20"/>
        </w:rPr>
        <w:t xml:space="preserve">UEs in the cell will report the </w:t>
      </w:r>
      <w:r>
        <w:rPr>
          <w:rFonts w:eastAsia="宋体"/>
          <w:i/>
          <w:iCs/>
          <w:sz w:val="20"/>
          <w:szCs w:val="20"/>
        </w:rPr>
        <w:t>measResultServCell</w:t>
      </w:r>
      <w:r>
        <w:rPr>
          <w:rFonts w:eastAsia="宋体" w:hint="eastAsia"/>
          <w:sz w:val="20"/>
          <w:szCs w:val="20"/>
        </w:rPr>
        <w:t xml:space="preserve"> in RRC Msg5</w:t>
      </w:r>
      <w:r>
        <w:rPr>
          <w:rFonts w:eastAsia="宋体"/>
          <w:i/>
          <w:iCs/>
          <w:sz w:val="20"/>
          <w:szCs w:val="20"/>
        </w:rPr>
        <w:t xml:space="preserve">. </w:t>
      </w:r>
      <w:r>
        <w:rPr>
          <w:rFonts w:eastAsia="宋体"/>
          <w:sz w:val="20"/>
          <w:szCs w:val="20"/>
        </w:rPr>
        <w:t xml:space="preserve">Such scheme may be undesired if the </w:t>
      </w:r>
      <w:r>
        <w:rPr>
          <w:rFonts w:eastAsia="宋体"/>
          <w:i/>
          <w:iCs/>
          <w:sz w:val="20"/>
          <w:szCs w:val="20"/>
        </w:rPr>
        <w:t>measResultServCell</w:t>
      </w:r>
      <w:r>
        <w:rPr>
          <w:rFonts w:eastAsia="宋体"/>
          <w:sz w:val="20"/>
          <w:szCs w:val="20"/>
        </w:rPr>
        <w:t xml:space="preserve"> report mechanism in Msg5 is reused for ANR report purpose. A UE specific activation mechanism is more flexible for ANR report. Considering that the ANR measurement is performed in RRC idle state and reported in the next RRC procedure, the suitable timing for providing </w:t>
      </w:r>
      <w:r>
        <w:rPr>
          <w:rFonts w:eastAsia="宋体" w:hint="eastAsia"/>
          <w:sz w:val="20"/>
          <w:szCs w:val="20"/>
        </w:rPr>
        <w:t xml:space="preserve">UE specific </w:t>
      </w:r>
      <w:r>
        <w:rPr>
          <w:rFonts w:eastAsia="宋体"/>
          <w:sz w:val="20"/>
          <w:szCs w:val="20"/>
        </w:rPr>
        <w:t xml:space="preserve">enable/disable indication would be in the RRC connection release procedure (e.g. in </w:t>
      </w:r>
      <w:r>
        <w:rPr>
          <w:i/>
          <w:sz w:val="20"/>
          <w:szCs w:val="20"/>
        </w:rPr>
        <w:t>RRCConnectionReject</w:t>
      </w:r>
      <w:r>
        <w:rPr>
          <w:rFonts w:eastAsia="宋体"/>
          <w:i/>
          <w:sz w:val="20"/>
          <w:szCs w:val="20"/>
        </w:rPr>
        <w:t xml:space="preserve">, </w:t>
      </w:r>
      <w:r>
        <w:rPr>
          <w:i/>
          <w:sz w:val="20"/>
          <w:szCs w:val="20"/>
        </w:rPr>
        <w:t xml:space="preserve">RRCConnectionRelease or </w:t>
      </w:r>
      <w:r>
        <w:rPr>
          <w:rFonts w:eastAsia="宋体"/>
          <w:i/>
          <w:iCs/>
          <w:sz w:val="20"/>
          <w:szCs w:val="20"/>
        </w:rPr>
        <w:t>RRCEarlyDataComplete etc</w:t>
      </w:r>
      <w:r>
        <w:rPr>
          <w:rFonts w:eastAsia="宋体"/>
          <w:sz w:val="20"/>
          <w:szCs w:val="20"/>
        </w:rPr>
        <w:t>).</w:t>
      </w:r>
    </w:p>
    <w:p w14:paraId="715D6655" w14:textId="77777777" w:rsidR="00BA605B" w:rsidRDefault="00BB404E" w:rsidP="006B664F">
      <w:pPr>
        <w:rPr>
          <w:rFonts w:eastAsia="宋体"/>
          <w:b/>
          <w:bCs/>
          <w:sz w:val="20"/>
          <w:szCs w:val="20"/>
        </w:rPr>
      </w:pPr>
      <w:r>
        <w:rPr>
          <w:rFonts w:eastAsia="宋体"/>
          <w:b/>
          <w:bCs/>
          <w:sz w:val="20"/>
          <w:szCs w:val="20"/>
        </w:rPr>
        <w:t>Proposal 2: It’s suggested to introduce enable/disable indication for ANR report in RRC connection release messages, e.g.,</w:t>
      </w:r>
      <w:r w:rsidRPr="006B664F">
        <w:rPr>
          <w:rFonts w:eastAsia="宋体"/>
          <w:b/>
          <w:bCs/>
          <w:sz w:val="20"/>
          <w:szCs w:val="20"/>
        </w:rPr>
        <w:t xml:space="preserve"> </w:t>
      </w:r>
      <w:r w:rsidRPr="006B664F">
        <w:rPr>
          <w:rFonts w:eastAsia="宋体"/>
          <w:b/>
          <w:bCs/>
          <w:i/>
          <w:sz w:val="20"/>
          <w:szCs w:val="20"/>
        </w:rPr>
        <w:t>RRCConnectionReject, RRCConnectionRelease</w:t>
      </w:r>
      <w:r w:rsidRPr="006B664F">
        <w:rPr>
          <w:rFonts w:eastAsia="宋体"/>
          <w:b/>
          <w:bCs/>
          <w:sz w:val="20"/>
          <w:szCs w:val="20"/>
        </w:rPr>
        <w:t xml:space="preserve"> or </w:t>
      </w:r>
      <w:r w:rsidRPr="006B664F">
        <w:rPr>
          <w:rFonts w:eastAsia="宋体"/>
          <w:b/>
          <w:bCs/>
          <w:i/>
          <w:sz w:val="20"/>
          <w:szCs w:val="20"/>
        </w:rPr>
        <w:t>RRCEarlyDataComplete.</w:t>
      </w:r>
    </w:p>
    <w:p w14:paraId="272BB5F4" w14:textId="381A5D54" w:rsidR="00BA605B" w:rsidRDefault="00BB404E">
      <w:pPr>
        <w:spacing w:beforeLines="30" w:before="72" w:after="100" w:line="260" w:lineRule="exact"/>
        <w:rPr>
          <w:rFonts w:eastAsia="宋体"/>
          <w:sz w:val="20"/>
          <w:szCs w:val="20"/>
        </w:rPr>
      </w:pPr>
      <w:r>
        <w:rPr>
          <w:rFonts w:eastAsia="宋体"/>
          <w:sz w:val="20"/>
          <w:szCs w:val="20"/>
        </w:rPr>
        <w:t xml:space="preserve">Taken into account </w:t>
      </w:r>
      <w:r>
        <w:rPr>
          <w:rFonts w:eastAsia="宋体" w:hint="eastAsia"/>
          <w:sz w:val="20"/>
          <w:szCs w:val="20"/>
        </w:rPr>
        <w:t xml:space="preserve">that the ANR reporting </w:t>
      </w:r>
      <w:r>
        <w:rPr>
          <w:rFonts w:eastAsia="宋体"/>
          <w:sz w:val="20"/>
          <w:szCs w:val="20"/>
        </w:rPr>
        <w:t>function</w:t>
      </w:r>
      <w:r>
        <w:rPr>
          <w:rFonts w:eastAsia="宋体" w:hint="eastAsia"/>
          <w:sz w:val="20"/>
          <w:szCs w:val="20"/>
        </w:rPr>
        <w:t xml:space="preserve"> can </w:t>
      </w:r>
      <w:r>
        <w:rPr>
          <w:rFonts w:eastAsia="宋体"/>
          <w:sz w:val="20"/>
          <w:szCs w:val="20"/>
        </w:rPr>
        <w:t>only be enabled</w:t>
      </w:r>
      <w:r>
        <w:rPr>
          <w:rFonts w:eastAsia="宋体" w:hint="eastAsia"/>
          <w:sz w:val="20"/>
          <w:szCs w:val="20"/>
        </w:rPr>
        <w:t xml:space="preserve"> for </w:t>
      </w:r>
      <w:r>
        <w:rPr>
          <w:rFonts w:eastAsia="宋体"/>
          <w:sz w:val="20"/>
          <w:szCs w:val="20"/>
        </w:rPr>
        <w:t xml:space="preserve">the UEs that supports </w:t>
      </w:r>
      <w:r>
        <w:rPr>
          <w:rFonts w:eastAsia="宋体" w:hint="eastAsia"/>
          <w:sz w:val="20"/>
          <w:szCs w:val="20"/>
        </w:rPr>
        <w:t xml:space="preserve">the </w:t>
      </w:r>
      <w:r>
        <w:rPr>
          <w:rFonts w:eastAsia="宋体"/>
          <w:sz w:val="20"/>
          <w:szCs w:val="20"/>
        </w:rPr>
        <w:t>ANR report, a UE capability</w:t>
      </w:r>
      <w:r>
        <w:rPr>
          <w:rFonts w:eastAsia="宋体" w:hint="eastAsia"/>
          <w:sz w:val="20"/>
          <w:szCs w:val="20"/>
        </w:rPr>
        <w:t xml:space="preserve"> </w:t>
      </w:r>
      <w:r>
        <w:rPr>
          <w:rFonts w:eastAsia="宋体"/>
          <w:sz w:val="20"/>
          <w:szCs w:val="20"/>
        </w:rPr>
        <w:t xml:space="preserve">would also be needed </w:t>
      </w:r>
      <w:r>
        <w:rPr>
          <w:rFonts w:eastAsia="宋体" w:hint="eastAsia"/>
          <w:sz w:val="20"/>
          <w:szCs w:val="20"/>
        </w:rPr>
        <w:t>for</w:t>
      </w:r>
      <w:r>
        <w:rPr>
          <w:rFonts w:eastAsia="宋体"/>
          <w:sz w:val="20"/>
          <w:szCs w:val="20"/>
        </w:rPr>
        <w:t xml:space="preserve"> eNB to enable</w:t>
      </w:r>
      <w:r>
        <w:rPr>
          <w:rFonts w:eastAsia="宋体" w:hint="eastAsia"/>
          <w:sz w:val="20"/>
          <w:szCs w:val="20"/>
        </w:rPr>
        <w:t xml:space="preserve"> the ANR reporting </w:t>
      </w:r>
      <w:r>
        <w:rPr>
          <w:rFonts w:eastAsia="宋体"/>
          <w:sz w:val="20"/>
          <w:szCs w:val="20"/>
        </w:rPr>
        <w:t xml:space="preserve">by </w:t>
      </w:r>
      <w:r>
        <w:rPr>
          <w:rFonts w:eastAsia="宋体" w:hint="eastAsia"/>
          <w:sz w:val="20"/>
          <w:szCs w:val="20"/>
        </w:rPr>
        <w:t xml:space="preserve">UE specific </w:t>
      </w:r>
      <w:r w:rsidR="006B664F">
        <w:rPr>
          <w:rFonts w:eastAsia="宋体"/>
          <w:sz w:val="20"/>
          <w:szCs w:val="20"/>
        </w:rPr>
        <w:t>signaling</w:t>
      </w:r>
      <w:r>
        <w:rPr>
          <w:rFonts w:eastAsia="宋体"/>
          <w:sz w:val="20"/>
          <w:szCs w:val="20"/>
        </w:rPr>
        <w:t xml:space="preserve">. </w:t>
      </w:r>
    </w:p>
    <w:p w14:paraId="52F01AD8" w14:textId="7BDE7D0F" w:rsidR="00BA605B" w:rsidRDefault="00362DC8">
      <w:pPr>
        <w:rPr>
          <w:rFonts w:eastAsia="宋体"/>
          <w:b/>
          <w:bCs/>
          <w:i/>
          <w:iCs/>
          <w:sz w:val="20"/>
          <w:szCs w:val="20"/>
          <w:highlight w:val="yellow"/>
        </w:rPr>
      </w:pPr>
      <w:r>
        <w:rPr>
          <w:rFonts w:eastAsia="宋体"/>
          <w:b/>
          <w:bCs/>
          <w:sz w:val="20"/>
          <w:szCs w:val="20"/>
        </w:rPr>
        <w:t>Proposal 3: A UE capability about supporting ANR report needs to be defined</w:t>
      </w:r>
      <w:bookmarkStart w:id="7" w:name="_GoBack"/>
      <w:bookmarkEnd w:id="7"/>
      <w:r w:rsidR="00BB404E">
        <w:rPr>
          <w:rFonts w:eastAsia="宋体"/>
          <w:b/>
          <w:bCs/>
          <w:sz w:val="20"/>
          <w:szCs w:val="20"/>
        </w:rPr>
        <w:t xml:space="preserve">. </w:t>
      </w:r>
    </w:p>
    <w:p w14:paraId="6042BC10" w14:textId="77777777" w:rsidR="00BA605B" w:rsidRDefault="00BB404E">
      <w:pPr>
        <w:rPr>
          <w:rFonts w:eastAsia="宋体"/>
          <w:bCs/>
          <w:sz w:val="20"/>
          <w:szCs w:val="20"/>
        </w:rPr>
      </w:pPr>
      <w:r>
        <w:rPr>
          <w:bCs/>
          <w:sz w:val="20"/>
          <w:szCs w:val="20"/>
        </w:rPr>
        <w:t xml:space="preserve">For contents in ANR report, there have no detailed agreements in last meeting. </w:t>
      </w:r>
      <w:r>
        <w:rPr>
          <w:rFonts w:hint="eastAsia"/>
          <w:bCs/>
          <w:sz w:val="20"/>
          <w:szCs w:val="20"/>
        </w:rPr>
        <w:t>Based on the</w:t>
      </w:r>
      <w:r>
        <w:rPr>
          <w:bCs/>
          <w:sz w:val="20"/>
          <w:szCs w:val="20"/>
        </w:rPr>
        <w:t xml:space="preserve"> comments in email discussion</w:t>
      </w:r>
      <w:r>
        <w:rPr>
          <w:bCs/>
          <w:iCs/>
          <w:sz w:val="20"/>
          <w:szCs w:val="20"/>
        </w:rPr>
        <w:t xml:space="preserve"> </w:t>
      </w:r>
      <w:r>
        <w:rPr>
          <w:bCs/>
          <w:i/>
          <w:iCs/>
          <w:sz w:val="20"/>
          <w:szCs w:val="20"/>
        </w:rPr>
        <w:t xml:space="preserve">[104#44][NB-IoT R16] SON ANR report, </w:t>
      </w:r>
      <w:r>
        <w:rPr>
          <w:bCs/>
          <w:sz w:val="20"/>
          <w:szCs w:val="20"/>
        </w:rPr>
        <w:t>most companies think the RSRP/RSRQ of the measured cell</w:t>
      </w:r>
      <w:r>
        <w:rPr>
          <w:rFonts w:eastAsia="宋体"/>
          <w:bCs/>
          <w:sz w:val="20"/>
          <w:szCs w:val="20"/>
        </w:rPr>
        <w:t xml:space="preserve"> and c</w:t>
      </w:r>
      <w:r>
        <w:rPr>
          <w:bCs/>
          <w:sz w:val="20"/>
          <w:szCs w:val="20"/>
        </w:rPr>
        <w:t>arrier frequency, PCI</w:t>
      </w:r>
      <w:r>
        <w:rPr>
          <w:rFonts w:eastAsia="宋体"/>
          <w:bCs/>
          <w:sz w:val="20"/>
          <w:szCs w:val="20"/>
        </w:rPr>
        <w:t xml:space="preserve"> or </w:t>
      </w:r>
      <w:r>
        <w:rPr>
          <w:bCs/>
          <w:sz w:val="20"/>
          <w:szCs w:val="20"/>
        </w:rPr>
        <w:t xml:space="preserve">CGI-info </w:t>
      </w:r>
      <w:r>
        <w:rPr>
          <w:rFonts w:eastAsia="宋体"/>
          <w:bCs/>
          <w:sz w:val="20"/>
          <w:szCs w:val="20"/>
        </w:rPr>
        <w:t>as cell identification would be needed.</w:t>
      </w:r>
    </w:p>
    <w:p w14:paraId="7B35ABB8" w14:textId="5E07832E" w:rsidR="00BA605B" w:rsidRDefault="00BB404E">
      <w:pPr>
        <w:rPr>
          <w:bCs/>
          <w:sz w:val="20"/>
          <w:szCs w:val="20"/>
        </w:rPr>
      </w:pPr>
      <w:r>
        <w:rPr>
          <w:rFonts w:eastAsia="宋体"/>
          <w:bCs/>
          <w:sz w:val="20"/>
          <w:szCs w:val="20"/>
        </w:rPr>
        <w:t>I</w:t>
      </w:r>
      <w:r>
        <w:rPr>
          <w:rFonts w:eastAsia="Malgun Gothic"/>
          <w:bCs/>
          <w:sz w:val="20"/>
          <w:szCs w:val="20"/>
        </w:rPr>
        <w:t xml:space="preserve">f the </w:t>
      </w:r>
      <w:r>
        <w:rPr>
          <w:rFonts w:eastAsia="Malgun Gothic"/>
          <w:bCs/>
          <w:i/>
          <w:iCs/>
          <w:sz w:val="20"/>
          <w:szCs w:val="20"/>
        </w:rPr>
        <w:t xml:space="preserve">measResultServCell </w:t>
      </w:r>
      <w:r>
        <w:rPr>
          <w:rFonts w:eastAsia="Malgun Gothic"/>
          <w:bCs/>
          <w:sz w:val="20"/>
          <w:szCs w:val="20"/>
        </w:rPr>
        <w:t xml:space="preserve">report in Msg5 can be reused for ANR report purpose, the serving cell can be identified based on </w:t>
      </w:r>
      <w:r>
        <w:rPr>
          <w:rFonts w:eastAsia="Malgun Gothic" w:hint="eastAsia"/>
          <w:bCs/>
          <w:sz w:val="20"/>
          <w:szCs w:val="20"/>
        </w:rPr>
        <w:t xml:space="preserve">RRC </w:t>
      </w:r>
      <w:r>
        <w:rPr>
          <w:rFonts w:eastAsia="Malgun Gothic"/>
          <w:bCs/>
          <w:sz w:val="20"/>
          <w:szCs w:val="20"/>
        </w:rPr>
        <w:t xml:space="preserve">Msg5 and </w:t>
      </w:r>
      <w:r>
        <w:rPr>
          <w:bCs/>
          <w:sz w:val="20"/>
          <w:szCs w:val="20"/>
        </w:rPr>
        <w:t>CGI-info</w:t>
      </w:r>
      <w:r>
        <w:rPr>
          <w:rFonts w:eastAsia="Malgun Gothic"/>
          <w:bCs/>
          <w:sz w:val="20"/>
          <w:szCs w:val="20"/>
        </w:rPr>
        <w:t xml:space="preserve"> would be not needed. Furthermore, based on the serving cell identity, and c</w:t>
      </w:r>
      <w:r>
        <w:rPr>
          <w:bCs/>
          <w:sz w:val="20"/>
          <w:szCs w:val="20"/>
        </w:rPr>
        <w:t>arrier frequency</w:t>
      </w:r>
      <w:r>
        <w:rPr>
          <w:rFonts w:eastAsia="Malgun Gothic"/>
          <w:bCs/>
          <w:sz w:val="20"/>
          <w:szCs w:val="20"/>
        </w:rPr>
        <w:t xml:space="preserve"> and </w:t>
      </w:r>
      <w:r>
        <w:rPr>
          <w:bCs/>
          <w:sz w:val="20"/>
          <w:szCs w:val="20"/>
        </w:rPr>
        <w:t>PCI</w:t>
      </w:r>
      <w:r>
        <w:rPr>
          <w:rFonts w:eastAsia="Malgun Gothic"/>
          <w:bCs/>
          <w:sz w:val="20"/>
          <w:szCs w:val="20"/>
        </w:rPr>
        <w:t xml:space="preserve"> of neighbor cell, measured neighbor cell can be identified definitely and also no need of </w:t>
      </w:r>
      <w:r>
        <w:rPr>
          <w:bCs/>
          <w:sz w:val="20"/>
          <w:szCs w:val="20"/>
        </w:rPr>
        <w:t xml:space="preserve">CGI-info of </w:t>
      </w:r>
      <w:r>
        <w:rPr>
          <w:rFonts w:eastAsia="Malgun Gothic"/>
          <w:bCs/>
          <w:sz w:val="20"/>
          <w:szCs w:val="20"/>
        </w:rPr>
        <w:t>neighbor cell</w:t>
      </w:r>
      <w:r w:rsidR="006B664F">
        <w:rPr>
          <w:rFonts w:eastAsia="Malgun Gothic"/>
          <w:bCs/>
          <w:sz w:val="20"/>
          <w:szCs w:val="20"/>
        </w:rPr>
        <w:t>s</w:t>
      </w:r>
      <w:r>
        <w:rPr>
          <w:bCs/>
          <w:sz w:val="20"/>
          <w:szCs w:val="20"/>
        </w:rPr>
        <w:t xml:space="preserve">, which will </w:t>
      </w:r>
      <w:r w:rsidR="006B664F">
        <w:rPr>
          <w:bCs/>
          <w:sz w:val="20"/>
          <w:szCs w:val="20"/>
        </w:rPr>
        <w:t>lead to</w:t>
      </w:r>
      <w:r>
        <w:rPr>
          <w:bCs/>
          <w:sz w:val="20"/>
          <w:szCs w:val="20"/>
        </w:rPr>
        <w:t xml:space="preserve"> less bits for ANR report.</w:t>
      </w:r>
    </w:p>
    <w:p w14:paraId="55099FFD" w14:textId="77777777" w:rsidR="00BA605B" w:rsidRDefault="00BB404E">
      <w:pPr>
        <w:rPr>
          <w:rFonts w:eastAsia="宋体"/>
          <w:b/>
          <w:bCs/>
          <w:i/>
          <w:iCs/>
          <w:sz w:val="20"/>
          <w:szCs w:val="20"/>
        </w:rPr>
      </w:pPr>
      <w:r>
        <w:rPr>
          <w:rFonts w:eastAsia="宋体"/>
          <w:b/>
          <w:bCs/>
          <w:sz w:val="20"/>
          <w:szCs w:val="20"/>
        </w:rPr>
        <w:t>Proposal 4: It’s suggested to introduce</w:t>
      </w:r>
      <w:r>
        <w:rPr>
          <w:rFonts w:eastAsia="宋体" w:hint="eastAsia"/>
          <w:b/>
          <w:bCs/>
          <w:sz w:val="20"/>
          <w:szCs w:val="20"/>
        </w:rPr>
        <w:t xml:space="preserve"> </w:t>
      </w:r>
      <w:r>
        <w:rPr>
          <w:b/>
          <w:sz w:val="20"/>
          <w:szCs w:val="20"/>
        </w:rPr>
        <w:t>carrier frequency</w:t>
      </w:r>
      <w:r>
        <w:rPr>
          <w:rFonts w:eastAsia="Malgun Gothic"/>
          <w:b/>
          <w:sz w:val="20"/>
          <w:szCs w:val="20"/>
        </w:rPr>
        <w:t xml:space="preserve"> and </w:t>
      </w:r>
      <w:r>
        <w:rPr>
          <w:b/>
          <w:sz w:val="20"/>
          <w:szCs w:val="20"/>
        </w:rPr>
        <w:t>PCI</w:t>
      </w:r>
      <w:r>
        <w:rPr>
          <w:rFonts w:eastAsia="Malgun Gothic"/>
          <w:b/>
          <w:sz w:val="20"/>
          <w:szCs w:val="20"/>
        </w:rPr>
        <w:t xml:space="preserve"> information to identify the measured neighbor cells in ANR report</w:t>
      </w:r>
      <w:r>
        <w:rPr>
          <w:rFonts w:eastAsia="宋体"/>
          <w:b/>
          <w:bCs/>
          <w:i/>
          <w:iCs/>
          <w:sz w:val="20"/>
          <w:szCs w:val="20"/>
        </w:rPr>
        <w:t>.</w:t>
      </w:r>
    </w:p>
    <w:p w14:paraId="6D4B8759" w14:textId="77777777" w:rsidR="00BA605B" w:rsidRDefault="00BB404E">
      <w:pPr>
        <w:spacing w:beforeLines="60" w:before="144" w:after="100" w:line="260" w:lineRule="exact"/>
        <w:rPr>
          <w:rFonts w:eastAsia="宋体"/>
          <w:bCs/>
          <w:sz w:val="20"/>
          <w:szCs w:val="20"/>
        </w:rPr>
      </w:pPr>
      <w:r>
        <w:rPr>
          <w:rFonts w:eastAsia="宋体"/>
          <w:sz w:val="20"/>
          <w:szCs w:val="20"/>
        </w:rPr>
        <w:t xml:space="preserve">According to the agreement in RAN2 #104, </w:t>
      </w:r>
      <w:r>
        <w:rPr>
          <w:rFonts w:eastAsia="Times New Roman"/>
          <w:bCs/>
          <w:sz w:val="20"/>
          <w:szCs w:val="20"/>
          <w:lang w:eastAsia="ja-JP"/>
        </w:rPr>
        <w:t>ANR information can be reported along with EDT</w:t>
      </w:r>
      <w:r>
        <w:rPr>
          <w:rFonts w:eastAsia="宋体"/>
          <w:bCs/>
          <w:sz w:val="20"/>
          <w:szCs w:val="20"/>
        </w:rPr>
        <w:t xml:space="preserve">. Generally, the </w:t>
      </w:r>
      <w:r>
        <w:rPr>
          <w:rFonts w:eastAsia="Times New Roman"/>
          <w:bCs/>
          <w:sz w:val="20"/>
          <w:szCs w:val="20"/>
          <w:lang w:eastAsia="ja-JP"/>
        </w:rPr>
        <w:t>ANR information</w:t>
      </w:r>
      <w:r>
        <w:rPr>
          <w:rFonts w:eastAsia="宋体" w:hint="eastAsia"/>
          <w:bCs/>
          <w:sz w:val="20"/>
          <w:szCs w:val="20"/>
        </w:rPr>
        <w:t xml:space="preserve"> </w:t>
      </w:r>
      <w:r>
        <w:rPr>
          <w:rFonts w:eastAsia="宋体"/>
          <w:bCs/>
          <w:sz w:val="20"/>
          <w:szCs w:val="20"/>
        </w:rPr>
        <w:t>along with EDT can be reported either by RRC message or by MAC CE. Taken into account that only s</w:t>
      </w:r>
      <w:r>
        <w:rPr>
          <w:bCs/>
          <w:sz w:val="20"/>
          <w:szCs w:val="20"/>
        </w:rPr>
        <w:t xml:space="preserve">ingle set of measurements </w:t>
      </w:r>
      <w:r>
        <w:rPr>
          <w:rFonts w:eastAsia="宋体"/>
          <w:bCs/>
          <w:sz w:val="20"/>
          <w:szCs w:val="20"/>
        </w:rPr>
        <w:t xml:space="preserve">will be reported, the size of ANR report will be small. Considering that ANR contents may change </w:t>
      </w:r>
      <w:r>
        <w:rPr>
          <w:rFonts w:eastAsia="宋体"/>
          <w:bCs/>
          <w:sz w:val="20"/>
          <w:szCs w:val="20"/>
        </w:rPr>
        <w:lastRenderedPageBreak/>
        <w:t xml:space="preserve">dynamically with different number of neighbor cells, but the MAC CE size is not flexible enough, we suggest to use RRC </w:t>
      </w:r>
      <w:r>
        <w:rPr>
          <w:rFonts w:eastAsia="宋体" w:hint="eastAsia"/>
          <w:bCs/>
          <w:sz w:val="20"/>
          <w:szCs w:val="20"/>
        </w:rPr>
        <w:t xml:space="preserve">Msg3 </w:t>
      </w:r>
      <w:r>
        <w:rPr>
          <w:rFonts w:eastAsia="宋体"/>
          <w:bCs/>
          <w:sz w:val="20"/>
          <w:szCs w:val="20"/>
        </w:rPr>
        <w:t xml:space="preserve">for </w:t>
      </w:r>
      <w:r>
        <w:rPr>
          <w:rFonts w:eastAsia="Times New Roman"/>
          <w:bCs/>
          <w:sz w:val="20"/>
          <w:szCs w:val="20"/>
          <w:lang w:eastAsia="ja-JP"/>
        </w:rPr>
        <w:t>ANR information</w:t>
      </w:r>
      <w:r>
        <w:rPr>
          <w:rFonts w:eastAsia="宋体"/>
          <w:bCs/>
          <w:sz w:val="20"/>
          <w:szCs w:val="20"/>
        </w:rPr>
        <w:t xml:space="preserve"> reporting along with EDT.</w:t>
      </w:r>
    </w:p>
    <w:p w14:paraId="05944464" w14:textId="15B45F8E" w:rsidR="00BA605B" w:rsidRPr="006B664F" w:rsidRDefault="006B664F" w:rsidP="006B664F">
      <w:pPr>
        <w:rPr>
          <w:rFonts w:eastAsia="宋体"/>
          <w:b/>
          <w:bCs/>
          <w:sz w:val="20"/>
          <w:szCs w:val="20"/>
        </w:rPr>
      </w:pPr>
      <w:r w:rsidRPr="006B664F">
        <w:rPr>
          <w:rFonts w:eastAsia="宋体"/>
          <w:b/>
          <w:bCs/>
          <w:sz w:val="20"/>
          <w:szCs w:val="20"/>
        </w:rPr>
        <w:t xml:space="preserve">Proposal 5: It’s suggested to report ANR information along with EDT in RRC </w:t>
      </w:r>
      <w:r w:rsidRPr="006B664F">
        <w:rPr>
          <w:rFonts w:eastAsia="宋体" w:hint="eastAsia"/>
          <w:b/>
          <w:bCs/>
          <w:sz w:val="20"/>
          <w:szCs w:val="20"/>
        </w:rPr>
        <w:t>Msg3</w:t>
      </w:r>
      <w:r w:rsidR="00BB404E" w:rsidRPr="006B664F">
        <w:rPr>
          <w:rFonts w:eastAsia="宋体"/>
          <w:b/>
          <w:bCs/>
          <w:sz w:val="20"/>
          <w:szCs w:val="20"/>
        </w:rPr>
        <w:t>.</w:t>
      </w:r>
    </w:p>
    <w:p w14:paraId="241068E7" w14:textId="77777777" w:rsidR="00BA605B" w:rsidRDefault="00BB404E">
      <w:pPr>
        <w:pStyle w:val="1"/>
        <w:spacing w:before="120" w:after="120" w:line="360" w:lineRule="auto"/>
        <w:ind w:left="431" w:hanging="431"/>
        <w:rPr>
          <w:lang w:val="en-US"/>
        </w:rPr>
      </w:pPr>
      <w:r>
        <w:rPr>
          <w:lang w:val="en-US"/>
        </w:rPr>
        <w:t>Conclusions</w:t>
      </w:r>
    </w:p>
    <w:p w14:paraId="24951EB7" w14:textId="77777777" w:rsidR="00BA605B" w:rsidRDefault="00BB404E">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14:paraId="07C8202F" w14:textId="77777777" w:rsidR="00BA605B" w:rsidRDefault="00BB404E">
      <w:pPr>
        <w:rPr>
          <w:rFonts w:eastAsia="宋体"/>
          <w:b/>
          <w:bCs/>
          <w:sz w:val="20"/>
          <w:szCs w:val="20"/>
        </w:rPr>
      </w:pPr>
      <w:r>
        <w:rPr>
          <w:rFonts w:eastAsia="宋体"/>
          <w:b/>
          <w:bCs/>
          <w:sz w:val="20"/>
          <w:szCs w:val="20"/>
        </w:rPr>
        <w:t xml:space="preserve">Observation 1: For a </w:t>
      </w:r>
      <w:r>
        <w:rPr>
          <w:rFonts w:eastAsia="宋体"/>
          <w:b/>
          <w:sz w:val="20"/>
          <w:szCs w:val="20"/>
        </w:rPr>
        <w:t>geo-stationary UE</w:t>
      </w:r>
      <w:r>
        <w:rPr>
          <w:rFonts w:eastAsia="宋体"/>
          <w:b/>
          <w:bCs/>
          <w:sz w:val="20"/>
          <w:szCs w:val="20"/>
        </w:rPr>
        <w:t xml:space="preserve">, both “option a) with single set of measurement </w:t>
      </w:r>
      <w:r>
        <w:rPr>
          <w:rFonts w:eastAsia="宋体" w:hint="eastAsia"/>
          <w:b/>
          <w:bCs/>
          <w:sz w:val="20"/>
          <w:szCs w:val="20"/>
        </w:rPr>
        <w:t>only</w:t>
      </w:r>
      <w:r>
        <w:rPr>
          <w:rFonts w:eastAsia="宋体"/>
          <w:b/>
          <w:bCs/>
          <w:sz w:val="20"/>
          <w:szCs w:val="20"/>
        </w:rPr>
        <w:t>”</w:t>
      </w:r>
      <w:r>
        <w:rPr>
          <w:rFonts w:eastAsia="宋体" w:hint="eastAsia"/>
          <w:b/>
          <w:bCs/>
          <w:sz w:val="20"/>
          <w:szCs w:val="20"/>
        </w:rPr>
        <w:t xml:space="preserve"> </w:t>
      </w:r>
      <w:r>
        <w:rPr>
          <w:rFonts w:eastAsia="宋体"/>
          <w:b/>
          <w:bCs/>
          <w:sz w:val="20"/>
          <w:szCs w:val="20"/>
        </w:rPr>
        <w:t xml:space="preserve">for ANR and </w:t>
      </w:r>
      <w:r>
        <w:rPr>
          <w:b/>
          <w:bCs/>
          <w:i/>
          <w:iCs/>
          <w:sz w:val="20"/>
          <w:szCs w:val="20"/>
        </w:rPr>
        <w:t>measResultServCell</w:t>
      </w:r>
      <w:r>
        <w:rPr>
          <w:rFonts w:eastAsia="宋体"/>
          <w:b/>
          <w:bCs/>
          <w:i/>
          <w:iCs/>
          <w:sz w:val="20"/>
          <w:szCs w:val="20"/>
        </w:rPr>
        <w:t xml:space="preserve"> </w:t>
      </w:r>
      <w:r>
        <w:rPr>
          <w:rFonts w:eastAsia="宋体"/>
          <w:b/>
          <w:bCs/>
          <w:sz w:val="20"/>
          <w:szCs w:val="20"/>
        </w:rPr>
        <w:t xml:space="preserve">in </w:t>
      </w:r>
      <w:r>
        <w:rPr>
          <w:rFonts w:eastAsia="宋体" w:hint="eastAsia"/>
          <w:b/>
          <w:bCs/>
          <w:sz w:val="20"/>
          <w:szCs w:val="20"/>
        </w:rPr>
        <w:t xml:space="preserve">RRC </w:t>
      </w:r>
      <w:r>
        <w:rPr>
          <w:rFonts w:eastAsia="宋体"/>
          <w:b/>
          <w:bCs/>
          <w:sz w:val="20"/>
          <w:szCs w:val="20"/>
        </w:rPr>
        <w:t>Msg5 will report the results of one shot measurement on the last serving cell in idle mode.</w:t>
      </w:r>
    </w:p>
    <w:p w14:paraId="23876C6A" w14:textId="72B075BB" w:rsidR="00BA605B" w:rsidRDefault="006B664F">
      <w:pPr>
        <w:rPr>
          <w:rFonts w:eastAsia="宋体"/>
          <w:b/>
          <w:bCs/>
          <w:sz w:val="20"/>
          <w:szCs w:val="20"/>
        </w:rPr>
      </w:pPr>
      <w:r>
        <w:rPr>
          <w:rFonts w:eastAsia="宋体"/>
          <w:b/>
          <w:bCs/>
          <w:sz w:val="20"/>
          <w:szCs w:val="20"/>
        </w:rPr>
        <w:t>Observation 2:</w:t>
      </w:r>
      <w:r>
        <w:rPr>
          <w:rFonts w:eastAsia="宋体" w:hint="eastAsia"/>
          <w:b/>
          <w:bCs/>
          <w:sz w:val="20"/>
          <w:szCs w:val="20"/>
        </w:rPr>
        <w:t xml:space="preserve"> </w:t>
      </w:r>
      <w:r>
        <w:rPr>
          <w:rFonts w:eastAsia="宋体"/>
          <w:b/>
          <w:bCs/>
          <w:sz w:val="20"/>
          <w:szCs w:val="20"/>
        </w:rPr>
        <w:t>It seems that t</w:t>
      </w:r>
      <w:r>
        <w:rPr>
          <w:rFonts w:eastAsia="宋体" w:hint="eastAsia"/>
          <w:b/>
          <w:bCs/>
          <w:sz w:val="20"/>
          <w:szCs w:val="20"/>
        </w:rPr>
        <w:t>he</w:t>
      </w:r>
      <w:r>
        <w:rPr>
          <w:rFonts w:eastAsia="宋体"/>
          <w:b/>
          <w:bCs/>
          <w:sz w:val="20"/>
          <w:szCs w:val="20"/>
        </w:rPr>
        <w:t xml:space="preserve"> serving cell measurement in ANR report by “option a) with single set of measurements only” in </w:t>
      </w:r>
      <w:r>
        <w:rPr>
          <w:b/>
          <w:bCs/>
          <w:sz w:val="20"/>
          <w:szCs w:val="20"/>
        </w:rPr>
        <w:t>UE Information Response</w:t>
      </w:r>
      <w:r>
        <w:rPr>
          <w:rFonts w:eastAsia="宋体"/>
          <w:b/>
          <w:bCs/>
          <w:sz w:val="20"/>
          <w:szCs w:val="20"/>
        </w:rPr>
        <w:t xml:space="preserve"> message would not provide additional valid information than that in </w:t>
      </w:r>
      <w:r>
        <w:rPr>
          <w:rFonts w:eastAsia="宋体"/>
          <w:b/>
          <w:bCs/>
          <w:i/>
          <w:iCs/>
          <w:sz w:val="20"/>
          <w:szCs w:val="20"/>
        </w:rPr>
        <w:t xml:space="preserve">measResultServCell </w:t>
      </w:r>
      <w:r>
        <w:rPr>
          <w:rFonts w:eastAsia="宋体"/>
          <w:b/>
          <w:bCs/>
          <w:sz w:val="20"/>
          <w:szCs w:val="20"/>
        </w:rPr>
        <w:t>report in Msg5</w:t>
      </w:r>
      <w:r w:rsidR="00BB404E">
        <w:rPr>
          <w:rFonts w:eastAsia="宋体"/>
          <w:b/>
          <w:bCs/>
          <w:sz w:val="20"/>
          <w:szCs w:val="20"/>
        </w:rPr>
        <w:t>.</w:t>
      </w:r>
    </w:p>
    <w:p w14:paraId="1D56E0F9" w14:textId="77777777" w:rsidR="00BA605B" w:rsidRDefault="00BB404E">
      <w:pPr>
        <w:rPr>
          <w:rFonts w:eastAsia="宋体"/>
          <w:b/>
          <w:i/>
          <w:iCs/>
          <w:sz w:val="20"/>
          <w:szCs w:val="20"/>
        </w:rPr>
      </w:pPr>
      <w:r>
        <w:rPr>
          <w:rFonts w:eastAsia="宋体"/>
          <w:b/>
          <w:bCs/>
          <w:sz w:val="20"/>
          <w:szCs w:val="20"/>
        </w:rPr>
        <w:t xml:space="preserve">Observation 3: If </w:t>
      </w:r>
      <w:r>
        <w:rPr>
          <w:rFonts w:eastAsia="宋体"/>
          <w:b/>
          <w:sz w:val="20"/>
          <w:szCs w:val="20"/>
        </w:rPr>
        <w:t xml:space="preserve">there has thinking that measurement results of neighbor cells can also be </w:t>
      </w:r>
      <w:r>
        <w:rPr>
          <w:rFonts w:eastAsia="宋体" w:hint="eastAsia"/>
          <w:b/>
          <w:sz w:val="20"/>
          <w:szCs w:val="20"/>
        </w:rPr>
        <w:t>included in ANR</w:t>
      </w:r>
      <w:r>
        <w:rPr>
          <w:rFonts w:eastAsia="宋体"/>
          <w:b/>
          <w:sz w:val="20"/>
          <w:szCs w:val="20"/>
        </w:rPr>
        <w:t xml:space="preserve"> report, the simpler way may be to append the measurement results of neighbor cells in </w:t>
      </w:r>
      <w:r>
        <w:rPr>
          <w:rFonts w:eastAsia="宋体" w:hint="eastAsia"/>
          <w:b/>
          <w:sz w:val="20"/>
          <w:szCs w:val="20"/>
        </w:rPr>
        <w:t xml:space="preserve">RRC </w:t>
      </w:r>
      <w:r>
        <w:rPr>
          <w:rFonts w:eastAsia="宋体"/>
          <w:b/>
          <w:sz w:val="20"/>
          <w:szCs w:val="20"/>
        </w:rPr>
        <w:t xml:space="preserve">Msg5 as the supplement of </w:t>
      </w:r>
      <w:r>
        <w:rPr>
          <w:rFonts w:eastAsia="宋体"/>
          <w:b/>
          <w:i/>
          <w:iCs/>
          <w:sz w:val="20"/>
          <w:szCs w:val="20"/>
        </w:rPr>
        <w:t>measResultServCell.</w:t>
      </w:r>
    </w:p>
    <w:p w14:paraId="2901685B" w14:textId="77777777" w:rsidR="00BA605B" w:rsidRDefault="00BA605B">
      <w:pPr>
        <w:rPr>
          <w:rFonts w:eastAsia="宋体"/>
          <w:b/>
          <w:i/>
          <w:iCs/>
          <w:sz w:val="20"/>
          <w:szCs w:val="20"/>
        </w:rPr>
      </w:pPr>
    </w:p>
    <w:p w14:paraId="360D31DE" w14:textId="4BA22067" w:rsidR="00BA605B" w:rsidRDefault="006B664F">
      <w:pPr>
        <w:rPr>
          <w:rFonts w:eastAsia="宋体"/>
          <w:b/>
          <w:bCs/>
          <w:i/>
          <w:iCs/>
          <w:sz w:val="20"/>
          <w:szCs w:val="20"/>
        </w:rPr>
      </w:pPr>
      <w:r>
        <w:rPr>
          <w:rFonts w:eastAsia="宋体"/>
          <w:b/>
          <w:bCs/>
          <w:sz w:val="20"/>
          <w:szCs w:val="20"/>
        </w:rPr>
        <w:t xml:space="preserve">Proposal 1: RAN2 needs to discuss whether the </w:t>
      </w:r>
      <w:r>
        <w:rPr>
          <w:rFonts w:eastAsia="宋体"/>
          <w:b/>
          <w:bCs/>
          <w:i/>
          <w:iCs/>
          <w:sz w:val="20"/>
          <w:szCs w:val="20"/>
        </w:rPr>
        <w:t>measResultServCell</w:t>
      </w:r>
      <w:r>
        <w:rPr>
          <w:rFonts w:eastAsia="宋体"/>
          <w:b/>
          <w:bCs/>
          <w:sz w:val="20"/>
          <w:szCs w:val="20"/>
        </w:rPr>
        <w:t xml:space="preserve"> report in </w:t>
      </w:r>
      <w:r>
        <w:rPr>
          <w:rFonts w:eastAsia="宋体" w:hint="eastAsia"/>
          <w:b/>
          <w:bCs/>
          <w:sz w:val="20"/>
          <w:szCs w:val="20"/>
        </w:rPr>
        <w:t xml:space="preserve">RRC </w:t>
      </w:r>
      <w:r>
        <w:rPr>
          <w:rFonts w:eastAsia="宋体"/>
          <w:b/>
          <w:bCs/>
          <w:sz w:val="20"/>
          <w:szCs w:val="20"/>
        </w:rPr>
        <w:t>Msg5 can be reused for ANR report purpose and whether other information would be needed</w:t>
      </w:r>
      <w:r w:rsidR="00BB404E">
        <w:rPr>
          <w:rFonts w:eastAsia="宋体"/>
          <w:b/>
          <w:bCs/>
          <w:i/>
          <w:iCs/>
          <w:sz w:val="20"/>
          <w:szCs w:val="20"/>
        </w:rPr>
        <w:t>.</w:t>
      </w:r>
    </w:p>
    <w:p w14:paraId="333EDE14" w14:textId="77777777" w:rsidR="00BA605B" w:rsidRDefault="00BB404E">
      <w:pPr>
        <w:rPr>
          <w:rFonts w:eastAsia="宋体"/>
          <w:b/>
          <w:bCs/>
          <w:sz w:val="20"/>
          <w:szCs w:val="20"/>
        </w:rPr>
      </w:pPr>
      <w:r>
        <w:rPr>
          <w:rFonts w:eastAsia="宋体"/>
          <w:b/>
          <w:bCs/>
          <w:sz w:val="20"/>
          <w:szCs w:val="20"/>
        </w:rPr>
        <w:t>Proposal 2: It’s suggested to introduce enable/disable indication for ANR report in RRC connection release messages, e.g.,</w:t>
      </w:r>
      <w:r>
        <w:rPr>
          <w:rFonts w:eastAsia="宋体"/>
          <w:b/>
          <w:sz w:val="20"/>
          <w:szCs w:val="20"/>
        </w:rPr>
        <w:t xml:space="preserve"> </w:t>
      </w:r>
      <w:r>
        <w:rPr>
          <w:b/>
          <w:i/>
          <w:sz w:val="20"/>
          <w:szCs w:val="20"/>
        </w:rPr>
        <w:t>RRCConnectionReject</w:t>
      </w:r>
      <w:r>
        <w:rPr>
          <w:rFonts w:eastAsia="宋体"/>
          <w:b/>
          <w:i/>
          <w:sz w:val="20"/>
          <w:szCs w:val="20"/>
        </w:rPr>
        <w:t xml:space="preserve">, </w:t>
      </w:r>
      <w:r>
        <w:rPr>
          <w:b/>
          <w:i/>
          <w:sz w:val="20"/>
          <w:szCs w:val="20"/>
        </w:rPr>
        <w:t xml:space="preserve">RRCConnectionRelease or </w:t>
      </w:r>
      <w:r>
        <w:rPr>
          <w:rFonts w:eastAsia="宋体"/>
          <w:b/>
          <w:i/>
          <w:iCs/>
          <w:sz w:val="20"/>
          <w:szCs w:val="20"/>
        </w:rPr>
        <w:t>RRCEarlyDataComplete</w:t>
      </w:r>
      <w:r>
        <w:rPr>
          <w:rFonts w:eastAsia="宋体"/>
          <w:b/>
          <w:bCs/>
          <w:sz w:val="20"/>
          <w:szCs w:val="20"/>
        </w:rPr>
        <w:t>.</w:t>
      </w:r>
    </w:p>
    <w:p w14:paraId="0DDA633C" w14:textId="2EF3E0E5" w:rsidR="00BA605B" w:rsidRDefault="00BB404E">
      <w:pPr>
        <w:rPr>
          <w:rFonts w:eastAsia="宋体"/>
          <w:b/>
          <w:bCs/>
          <w:sz w:val="20"/>
          <w:szCs w:val="20"/>
        </w:rPr>
      </w:pPr>
      <w:r>
        <w:rPr>
          <w:rFonts w:eastAsia="宋体"/>
          <w:b/>
          <w:bCs/>
          <w:sz w:val="20"/>
          <w:szCs w:val="20"/>
        </w:rPr>
        <w:t>Proposal 3: A UE capability about supporting ANR report needs to be defined.</w:t>
      </w:r>
    </w:p>
    <w:p w14:paraId="0E1DB098" w14:textId="77777777" w:rsidR="00BA605B" w:rsidRDefault="00BB404E">
      <w:pPr>
        <w:rPr>
          <w:rFonts w:eastAsia="宋体"/>
          <w:b/>
          <w:bCs/>
          <w:i/>
          <w:iCs/>
          <w:sz w:val="20"/>
          <w:szCs w:val="20"/>
        </w:rPr>
      </w:pPr>
      <w:r>
        <w:rPr>
          <w:rFonts w:eastAsia="宋体"/>
          <w:b/>
          <w:bCs/>
          <w:sz w:val="20"/>
          <w:szCs w:val="20"/>
        </w:rPr>
        <w:t>Proposal 4: It’s suggested to introduce</w:t>
      </w:r>
      <w:r>
        <w:rPr>
          <w:rFonts w:eastAsia="宋体" w:hint="eastAsia"/>
          <w:b/>
          <w:bCs/>
          <w:sz w:val="20"/>
          <w:szCs w:val="20"/>
        </w:rPr>
        <w:t xml:space="preserve"> </w:t>
      </w:r>
      <w:r>
        <w:rPr>
          <w:b/>
          <w:sz w:val="20"/>
          <w:szCs w:val="20"/>
        </w:rPr>
        <w:t>carrier frequency</w:t>
      </w:r>
      <w:r>
        <w:rPr>
          <w:rFonts w:eastAsia="Malgun Gothic"/>
          <w:b/>
          <w:sz w:val="20"/>
          <w:szCs w:val="20"/>
        </w:rPr>
        <w:t xml:space="preserve"> and </w:t>
      </w:r>
      <w:r>
        <w:rPr>
          <w:b/>
          <w:sz w:val="20"/>
          <w:szCs w:val="20"/>
        </w:rPr>
        <w:t>PCI</w:t>
      </w:r>
      <w:r>
        <w:rPr>
          <w:rFonts w:eastAsia="Malgun Gothic"/>
          <w:b/>
          <w:sz w:val="20"/>
          <w:szCs w:val="20"/>
        </w:rPr>
        <w:t xml:space="preserve"> information to identify the measured neighbor cells in ANR report</w:t>
      </w:r>
      <w:r>
        <w:rPr>
          <w:rFonts w:eastAsia="宋体"/>
          <w:b/>
          <w:bCs/>
          <w:i/>
          <w:iCs/>
          <w:sz w:val="20"/>
          <w:szCs w:val="20"/>
        </w:rPr>
        <w:t>.</w:t>
      </w:r>
    </w:p>
    <w:p w14:paraId="6EB7D8B4" w14:textId="77777777" w:rsidR="006B664F" w:rsidRPr="006B664F" w:rsidRDefault="006B664F" w:rsidP="006B664F">
      <w:pPr>
        <w:rPr>
          <w:rFonts w:eastAsia="宋体"/>
          <w:b/>
          <w:bCs/>
          <w:sz w:val="20"/>
          <w:szCs w:val="20"/>
        </w:rPr>
      </w:pPr>
      <w:bookmarkStart w:id="8" w:name="OLE_LINK11"/>
      <w:bookmarkStart w:id="9" w:name="OLE_LINK10"/>
      <w:bookmarkEnd w:id="6"/>
      <w:r w:rsidRPr="006B664F">
        <w:rPr>
          <w:rFonts w:eastAsia="宋体"/>
          <w:b/>
          <w:bCs/>
          <w:sz w:val="20"/>
          <w:szCs w:val="20"/>
        </w:rPr>
        <w:t xml:space="preserve">Proposal 5: It’s suggested to report ANR information along with EDT in RRC </w:t>
      </w:r>
      <w:r w:rsidRPr="006B664F">
        <w:rPr>
          <w:rFonts w:eastAsia="宋体" w:hint="eastAsia"/>
          <w:b/>
          <w:bCs/>
          <w:sz w:val="20"/>
          <w:szCs w:val="20"/>
        </w:rPr>
        <w:t>Msg3</w:t>
      </w:r>
      <w:r w:rsidRPr="006B664F">
        <w:rPr>
          <w:rFonts w:eastAsia="宋体"/>
          <w:b/>
          <w:bCs/>
          <w:sz w:val="20"/>
          <w:szCs w:val="20"/>
        </w:rPr>
        <w:t>.</w:t>
      </w:r>
    </w:p>
    <w:p w14:paraId="0B1B43B4" w14:textId="77777777" w:rsidR="00BA605B" w:rsidRDefault="00BB404E">
      <w:pPr>
        <w:pStyle w:val="1"/>
        <w:numPr>
          <w:ilvl w:val="0"/>
          <w:numId w:val="0"/>
        </w:numPr>
        <w:spacing w:before="120" w:after="120"/>
        <w:rPr>
          <w:lang w:val="en-US"/>
        </w:rPr>
      </w:pPr>
      <w:r>
        <w:rPr>
          <w:lang w:val="en-US"/>
        </w:rPr>
        <w:t>References</w:t>
      </w:r>
    </w:p>
    <w:p w14:paraId="3000FB7A" w14:textId="77777777" w:rsidR="00BA605B" w:rsidRDefault="00BB404E">
      <w:pPr>
        <w:numPr>
          <w:ilvl w:val="0"/>
          <w:numId w:val="10"/>
        </w:numPr>
        <w:spacing w:beforeLines="10" w:before="24" w:afterLines="10" w:after="24" w:line="264" w:lineRule="auto"/>
        <w:rPr>
          <w:sz w:val="20"/>
          <w:szCs w:val="20"/>
        </w:rPr>
      </w:pPr>
      <w:bookmarkStart w:id="10" w:name="OLE_LINK2"/>
      <w:bookmarkEnd w:id="8"/>
      <w:bookmarkEnd w:id="9"/>
      <w:r>
        <w:rPr>
          <w:sz w:val="20"/>
          <w:szCs w:val="20"/>
        </w:rPr>
        <w:t>3GPP, RP-190757, WID revision: Additional enhancements for NB-IoT, RAN#83, March 2019</w:t>
      </w:r>
      <w:bookmarkEnd w:id="10"/>
    </w:p>
    <w:sectPr w:rsidR="00BA605B">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EC5B5A"/>
    <w:multiLevelType w:val="multilevel"/>
    <w:tmpl w:val="DDEC5B5A"/>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134"/>
        </w:tabs>
        <w:ind w:left="1134" w:hanging="567"/>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F92513"/>
    <w:multiLevelType w:val="multilevel"/>
    <w:tmpl w:val="3EF92513"/>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9"/>
  </w:num>
  <w:num w:numId="4">
    <w:abstractNumId w:val="6"/>
  </w:num>
  <w:num w:numId="5">
    <w:abstractNumId w:val="5"/>
  </w:num>
  <w:num w:numId="6">
    <w:abstractNumId w:val="7"/>
  </w:num>
  <w:num w:numId="7">
    <w:abstractNumId w:val="1"/>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45"/>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B61"/>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3A0"/>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2DC8"/>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52B"/>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836"/>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5C2"/>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3C5"/>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64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AE"/>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4F"/>
    <w:rsid w:val="00BA4633"/>
    <w:rsid w:val="00BA4A40"/>
    <w:rsid w:val="00BA4C57"/>
    <w:rsid w:val="00BA4CB0"/>
    <w:rsid w:val="00BA56FF"/>
    <w:rsid w:val="00BA57EB"/>
    <w:rsid w:val="00BA5A5D"/>
    <w:rsid w:val="00BA5B75"/>
    <w:rsid w:val="00BA605B"/>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04E"/>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B0"/>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3F"/>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6E96"/>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D2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366DD"/>
    <w:rsid w:val="026B0F71"/>
    <w:rsid w:val="02747219"/>
    <w:rsid w:val="02F520A6"/>
    <w:rsid w:val="038C235B"/>
    <w:rsid w:val="041212F7"/>
    <w:rsid w:val="04855B07"/>
    <w:rsid w:val="04A34073"/>
    <w:rsid w:val="04F713E5"/>
    <w:rsid w:val="04FA7030"/>
    <w:rsid w:val="057A3E53"/>
    <w:rsid w:val="06072B25"/>
    <w:rsid w:val="06D63647"/>
    <w:rsid w:val="080336F5"/>
    <w:rsid w:val="08054515"/>
    <w:rsid w:val="08564BE9"/>
    <w:rsid w:val="08832D36"/>
    <w:rsid w:val="0A0D1879"/>
    <w:rsid w:val="0A213D44"/>
    <w:rsid w:val="0AD35C59"/>
    <w:rsid w:val="0AEE4BFC"/>
    <w:rsid w:val="0B9C4929"/>
    <w:rsid w:val="0BB81A0E"/>
    <w:rsid w:val="0BCF0317"/>
    <w:rsid w:val="0C7E6C90"/>
    <w:rsid w:val="0D4238F0"/>
    <w:rsid w:val="0DDC54EB"/>
    <w:rsid w:val="0DE65CD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05862"/>
    <w:rsid w:val="168F70D3"/>
    <w:rsid w:val="171C020F"/>
    <w:rsid w:val="178202C9"/>
    <w:rsid w:val="17AD5102"/>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3581577"/>
    <w:rsid w:val="241534A7"/>
    <w:rsid w:val="256B1E5E"/>
    <w:rsid w:val="25F13D85"/>
    <w:rsid w:val="2679522B"/>
    <w:rsid w:val="27510987"/>
    <w:rsid w:val="28151073"/>
    <w:rsid w:val="28E309D7"/>
    <w:rsid w:val="28F95B87"/>
    <w:rsid w:val="2900651C"/>
    <w:rsid w:val="29181460"/>
    <w:rsid w:val="2956167A"/>
    <w:rsid w:val="299145D8"/>
    <w:rsid w:val="29A240AD"/>
    <w:rsid w:val="29D15588"/>
    <w:rsid w:val="2A072E6D"/>
    <w:rsid w:val="2A95301D"/>
    <w:rsid w:val="2AD23946"/>
    <w:rsid w:val="2B8F7538"/>
    <w:rsid w:val="2C092A93"/>
    <w:rsid w:val="2C296497"/>
    <w:rsid w:val="2DB53D1A"/>
    <w:rsid w:val="2DD81171"/>
    <w:rsid w:val="2EA04261"/>
    <w:rsid w:val="2EB4754A"/>
    <w:rsid w:val="2EC55E8F"/>
    <w:rsid w:val="2F623CD7"/>
    <w:rsid w:val="2FF33761"/>
    <w:rsid w:val="30136890"/>
    <w:rsid w:val="30DC4BD6"/>
    <w:rsid w:val="30DF1FC9"/>
    <w:rsid w:val="3142020A"/>
    <w:rsid w:val="316E46A1"/>
    <w:rsid w:val="321861CB"/>
    <w:rsid w:val="32756594"/>
    <w:rsid w:val="340D7D57"/>
    <w:rsid w:val="34157554"/>
    <w:rsid w:val="342A39F3"/>
    <w:rsid w:val="34703684"/>
    <w:rsid w:val="34CA51D8"/>
    <w:rsid w:val="35052E5A"/>
    <w:rsid w:val="350937A0"/>
    <w:rsid w:val="351B60C1"/>
    <w:rsid w:val="354D2AAA"/>
    <w:rsid w:val="35A85B74"/>
    <w:rsid w:val="35B31235"/>
    <w:rsid w:val="360C27FC"/>
    <w:rsid w:val="363B4CE0"/>
    <w:rsid w:val="37731700"/>
    <w:rsid w:val="37FC0618"/>
    <w:rsid w:val="381814C7"/>
    <w:rsid w:val="395C2867"/>
    <w:rsid w:val="39741792"/>
    <w:rsid w:val="39766AD7"/>
    <w:rsid w:val="39A32391"/>
    <w:rsid w:val="39B708C3"/>
    <w:rsid w:val="39BB4796"/>
    <w:rsid w:val="3A5B1E6D"/>
    <w:rsid w:val="3A8268AE"/>
    <w:rsid w:val="3A91443A"/>
    <w:rsid w:val="3B213E5A"/>
    <w:rsid w:val="3BD666CE"/>
    <w:rsid w:val="3C3216FA"/>
    <w:rsid w:val="3C5E18FC"/>
    <w:rsid w:val="3CB44305"/>
    <w:rsid w:val="3D72668D"/>
    <w:rsid w:val="3DEB10E3"/>
    <w:rsid w:val="3E1928BB"/>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6F0B21"/>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995427A"/>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4CF7CA9"/>
    <w:rsid w:val="652505C7"/>
    <w:rsid w:val="659768E8"/>
    <w:rsid w:val="65B228BF"/>
    <w:rsid w:val="65D50280"/>
    <w:rsid w:val="6685431B"/>
    <w:rsid w:val="66893AB2"/>
    <w:rsid w:val="66F17846"/>
    <w:rsid w:val="67A26A09"/>
    <w:rsid w:val="67B10006"/>
    <w:rsid w:val="67E7796D"/>
    <w:rsid w:val="68D518BE"/>
    <w:rsid w:val="692D768A"/>
    <w:rsid w:val="69B8294C"/>
    <w:rsid w:val="6A277931"/>
    <w:rsid w:val="6B83034F"/>
    <w:rsid w:val="6C9B4CCC"/>
    <w:rsid w:val="6CEF2DC8"/>
    <w:rsid w:val="6CFE58C3"/>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7FA3A5D"/>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759EC2-0F0E-423D-A06B-33CA95BCB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6"/>
    <w:uiPriority w:val="34"/>
    <w:qFormat/>
    <w:locked/>
    <w:rPr>
      <w:rFonts w:ascii="Times New Roman" w:hAnsi="Times New Roman"/>
      <w:kern w:val="2"/>
      <w:sz w:val="21"/>
      <w:szCs w:val="24"/>
    </w:rPr>
  </w:style>
  <w:style w:type="paragraph" w:styleId="af6">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77D3B-7876-453B-B406-1AC87875D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cp:revision>
  <dcterms:created xsi:type="dcterms:W3CDTF">2019-03-22T02:16:00Z</dcterms:created>
  <dcterms:modified xsi:type="dcterms:W3CDTF">2019-03-29T05:09:00Z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